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170" w:rsidRPr="00366BF3" w:rsidRDefault="00CC4170" w:rsidP="000F5D8B">
      <w:pPr>
        <w:spacing w:line="360" w:lineRule="auto"/>
        <w:jc w:val="both"/>
        <w:rPr>
          <w:b/>
          <w:color w:val="000000" w:themeColor="text1"/>
          <w:sz w:val="28"/>
          <w:szCs w:val="28"/>
        </w:rPr>
      </w:pPr>
      <w:bookmarkStart w:id="0" w:name="_GoBack"/>
      <w:bookmarkEnd w:id="0"/>
      <w:r w:rsidRPr="00366BF3">
        <w:rPr>
          <w:b/>
          <w:color w:val="000000" w:themeColor="text1"/>
          <w:sz w:val="28"/>
          <w:szCs w:val="28"/>
        </w:rPr>
        <w:t>Le PSL, variable d’ajustement ou partie prenante dominante à la relation industrie/Commerce ? Le cas des produits frais et ultra-frais dans le Grand Ouest de la France</w:t>
      </w:r>
    </w:p>
    <w:p w:rsidR="00A0516F" w:rsidRPr="00366BF3" w:rsidRDefault="00A0516F" w:rsidP="000F5D8B">
      <w:pPr>
        <w:spacing w:line="360" w:lineRule="auto"/>
        <w:rPr>
          <w:color w:val="000000" w:themeColor="text1"/>
        </w:rPr>
      </w:pPr>
    </w:p>
    <w:p w:rsidR="00A0516F" w:rsidRPr="00366BF3" w:rsidRDefault="00A0516F" w:rsidP="000F5D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color w:val="000000" w:themeColor="text1"/>
          <w:sz w:val="28"/>
          <w:szCs w:val="28"/>
          <w:lang w:val="en-US"/>
        </w:rPr>
      </w:pPr>
      <w:r w:rsidRPr="00366BF3">
        <w:rPr>
          <w:b/>
          <w:color w:val="000000" w:themeColor="text1"/>
          <w:sz w:val="28"/>
          <w:szCs w:val="28"/>
          <w:lang w:val="en"/>
        </w:rPr>
        <w:t>PSL, an adjustment factor or a dominant stakeholder in the industry / trade relationship?</w:t>
      </w:r>
      <w:r w:rsidR="00F13BD3">
        <w:rPr>
          <w:b/>
          <w:color w:val="000000" w:themeColor="text1"/>
          <w:sz w:val="28"/>
          <w:szCs w:val="28"/>
          <w:lang w:val="en"/>
        </w:rPr>
        <w:t xml:space="preserve"> </w:t>
      </w:r>
      <w:r w:rsidRPr="00366BF3">
        <w:rPr>
          <w:b/>
          <w:color w:val="000000" w:themeColor="text1"/>
          <w:sz w:val="28"/>
          <w:szCs w:val="28"/>
          <w:lang w:val="en-US"/>
        </w:rPr>
        <w:t xml:space="preserve">The case of fresh and ultra-fresh food products in the West of France </w:t>
      </w:r>
    </w:p>
    <w:p w:rsidR="00A0516F" w:rsidRDefault="00A0516F" w:rsidP="000F5D8B">
      <w:pPr>
        <w:spacing w:line="360" w:lineRule="auto"/>
        <w:jc w:val="center"/>
        <w:rPr>
          <w:b/>
          <w:iCs/>
          <w:color w:val="000000" w:themeColor="text1"/>
          <w:szCs w:val="24"/>
          <w:lang w:val="en-US"/>
        </w:rPr>
      </w:pPr>
    </w:p>
    <w:p w:rsidR="00F13BD3" w:rsidRPr="00366BF3" w:rsidRDefault="00F13BD3" w:rsidP="000F5D8B">
      <w:pPr>
        <w:spacing w:line="360" w:lineRule="auto"/>
        <w:jc w:val="center"/>
        <w:rPr>
          <w:b/>
          <w:iCs/>
          <w:color w:val="000000" w:themeColor="text1"/>
          <w:szCs w:val="24"/>
          <w:lang w:val="en-US"/>
        </w:rPr>
      </w:pPr>
    </w:p>
    <w:p w:rsidR="00A0516F" w:rsidRPr="00366BF3" w:rsidRDefault="00A0516F" w:rsidP="000F5D8B">
      <w:pPr>
        <w:spacing w:line="360" w:lineRule="auto"/>
        <w:jc w:val="center"/>
        <w:rPr>
          <w:b/>
          <w:iCs/>
          <w:color w:val="000000" w:themeColor="text1"/>
          <w:szCs w:val="24"/>
        </w:rPr>
      </w:pPr>
      <w:r w:rsidRPr="00366BF3">
        <w:rPr>
          <w:b/>
          <w:iCs/>
          <w:color w:val="000000" w:themeColor="text1"/>
          <w:szCs w:val="24"/>
        </w:rPr>
        <w:t>Olivier Mevel</w:t>
      </w:r>
    </w:p>
    <w:p w:rsidR="00A0516F" w:rsidRPr="00366BF3" w:rsidRDefault="00A0516F" w:rsidP="000F5D8B">
      <w:pPr>
        <w:spacing w:line="360" w:lineRule="auto"/>
        <w:jc w:val="center"/>
        <w:rPr>
          <w:i/>
          <w:color w:val="000000" w:themeColor="text1"/>
          <w:szCs w:val="24"/>
        </w:rPr>
      </w:pPr>
      <w:r w:rsidRPr="00366BF3">
        <w:rPr>
          <w:i/>
          <w:color w:val="000000" w:themeColor="text1"/>
          <w:szCs w:val="24"/>
        </w:rPr>
        <w:t xml:space="preserve">Université de </w:t>
      </w:r>
      <w:r w:rsidR="00077DC8" w:rsidRPr="00366BF3">
        <w:rPr>
          <w:i/>
          <w:color w:val="000000" w:themeColor="text1"/>
          <w:szCs w:val="24"/>
        </w:rPr>
        <w:t>Brest/LEGO</w:t>
      </w:r>
      <w:r w:rsidRPr="00366BF3">
        <w:rPr>
          <w:i/>
          <w:color w:val="000000" w:themeColor="text1"/>
          <w:szCs w:val="24"/>
        </w:rPr>
        <w:t xml:space="preserve"> - IUT de Brest</w:t>
      </w:r>
    </w:p>
    <w:p w:rsidR="00A0516F" w:rsidRPr="00366BF3" w:rsidRDefault="00750EAC" w:rsidP="000F5D8B">
      <w:pPr>
        <w:spacing w:line="360" w:lineRule="auto"/>
        <w:jc w:val="center"/>
        <w:rPr>
          <w:color w:val="000000" w:themeColor="text1"/>
          <w:lang w:val="en-US"/>
        </w:rPr>
      </w:pPr>
      <w:hyperlink r:id="rId8" w:history="1">
        <w:r w:rsidR="00077DC8" w:rsidRPr="00366BF3">
          <w:rPr>
            <w:rStyle w:val="Lienhypertexte"/>
            <w:color w:val="000000" w:themeColor="text1"/>
            <w:szCs w:val="24"/>
            <w:lang w:val="en-US"/>
          </w:rPr>
          <w:t>olivier.mevel@univ-brest.fr</w:t>
        </w:r>
      </w:hyperlink>
    </w:p>
    <w:p w:rsidR="00A0516F" w:rsidRPr="00366BF3" w:rsidRDefault="00A0516F" w:rsidP="000F5D8B">
      <w:pPr>
        <w:spacing w:line="360" w:lineRule="auto"/>
        <w:jc w:val="center"/>
        <w:rPr>
          <w:color w:val="000000" w:themeColor="text1"/>
          <w:szCs w:val="24"/>
          <w:lang w:val="en-US"/>
        </w:rPr>
      </w:pPr>
    </w:p>
    <w:p w:rsidR="00A0516F" w:rsidRPr="00366BF3" w:rsidRDefault="00A0516F" w:rsidP="000F5D8B">
      <w:pPr>
        <w:spacing w:line="360" w:lineRule="auto"/>
        <w:jc w:val="center"/>
        <w:rPr>
          <w:b/>
          <w:iCs/>
          <w:color w:val="000000" w:themeColor="text1"/>
          <w:szCs w:val="24"/>
          <w:lang w:val="en-US"/>
        </w:rPr>
      </w:pPr>
      <w:r w:rsidRPr="00366BF3">
        <w:rPr>
          <w:b/>
          <w:iCs/>
          <w:color w:val="000000" w:themeColor="text1"/>
          <w:szCs w:val="24"/>
          <w:lang w:val="en-US"/>
        </w:rPr>
        <w:t>Thierry Morvan</w:t>
      </w:r>
    </w:p>
    <w:p w:rsidR="00A0516F" w:rsidRPr="00366BF3" w:rsidRDefault="00A0516F" w:rsidP="000F5D8B">
      <w:pPr>
        <w:spacing w:line="360" w:lineRule="auto"/>
        <w:jc w:val="center"/>
        <w:rPr>
          <w:i/>
          <w:color w:val="000000" w:themeColor="text1"/>
          <w:szCs w:val="24"/>
        </w:rPr>
      </w:pPr>
      <w:r w:rsidRPr="00366BF3">
        <w:rPr>
          <w:i/>
          <w:color w:val="000000" w:themeColor="text1"/>
          <w:szCs w:val="24"/>
        </w:rPr>
        <w:t>Université de Rennes 1/CREM - IUT de Saint Malo</w:t>
      </w:r>
    </w:p>
    <w:p w:rsidR="00A0516F" w:rsidRPr="00366BF3" w:rsidRDefault="00750EAC" w:rsidP="000F5D8B">
      <w:pPr>
        <w:spacing w:line="360" w:lineRule="auto"/>
        <w:jc w:val="center"/>
        <w:rPr>
          <w:color w:val="000000" w:themeColor="text1"/>
          <w:szCs w:val="24"/>
          <w:lang w:val="en-US"/>
        </w:rPr>
      </w:pPr>
      <w:hyperlink r:id="rId9" w:history="1">
        <w:r w:rsidR="00077DC8" w:rsidRPr="00366BF3">
          <w:rPr>
            <w:rStyle w:val="Lienhypertexte"/>
            <w:color w:val="000000" w:themeColor="text1"/>
            <w:szCs w:val="24"/>
            <w:lang w:val="en-US"/>
          </w:rPr>
          <w:t>thierry.morvan@univ-rennes1.fr</w:t>
        </w:r>
      </w:hyperlink>
    </w:p>
    <w:p w:rsidR="00A0516F" w:rsidRPr="00366BF3" w:rsidRDefault="00A0516F" w:rsidP="000F5D8B">
      <w:pPr>
        <w:spacing w:line="360" w:lineRule="auto"/>
        <w:jc w:val="center"/>
        <w:rPr>
          <w:b/>
          <w:iCs/>
          <w:color w:val="000000" w:themeColor="text1"/>
          <w:szCs w:val="24"/>
          <w:lang w:val="en-US"/>
        </w:rPr>
      </w:pPr>
      <w:r w:rsidRPr="00366BF3">
        <w:rPr>
          <w:b/>
          <w:iCs/>
          <w:color w:val="000000" w:themeColor="text1"/>
          <w:szCs w:val="24"/>
          <w:lang w:val="en-US"/>
        </w:rPr>
        <w:t>Nélida Morvan</w:t>
      </w:r>
    </w:p>
    <w:p w:rsidR="00A0516F" w:rsidRPr="00366BF3" w:rsidRDefault="00077DC8" w:rsidP="000F5D8B">
      <w:pPr>
        <w:spacing w:line="360" w:lineRule="auto"/>
        <w:jc w:val="center"/>
        <w:rPr>
          <w:color w:val="000000" w:themeColor="text1"/>
          <w:szCs w:val="24"/>
        </w:rPr>
      </w:pPr>
      <w:r w:rsidRPr="00366BF3">
        <w:rPr>
          <w:i/>
          <w:color w:val="000000" w:themeColor="text1"/>
          <w:szCs w:val="24"/>
        </w:rPr>
        <w:t>Université de Rennes 1/</w:t>
      </w:r>
      <w:r w:rsidR="00A0516F" w:rsidRPr="00366BF3">
        <w:rPr>
          <w:i/>
          <w:color w:val="000000" w:themeColor="text1"/>
          <w:szCs w:val="24"/>
        </w:rPr>
        <w:t xml:space="preserve"> IUT de Saint Malo</w:t>
      </w:r>
    </w:p>
    <w:p w:rsidR="00A0516F" w:rsidRPr="00366BF3" w:rsidRDefault="00750EAC" w:rsidP="000F5D8B">
      <w:pPr>
        <w:spacing w:line="360" w:lineRule="auto"/>
        <w:jc w:val="center"/>
        <w:rPr>
          <w:color w:val="000000" w:themeColor="text1"/>
          <w:szCs w:val="24"/>
        </w:rPr>
      </w:pPr>
      <w:hyperlink r:id="rId10" w:history="1">
        <w:r w:rsidR="00A0516F" w:rsidRPr="00366BF3">
          <w:rPr>
            <w:rStyle w:val="Lienhypertexte"/>
            <w:color w:val="000000" w:themeColor="text1"/>
            <w:szCs w:val="24"/>
          </w:rPr>
          <w:t>nelida.morvan@univ-rennes1.fr</w:t>
        </w:r>
      </w:hyperlink>
    </w:p>
    <w:p w:rsidR="00A0516F" w:rsidRPr="00366BF3" w:rsidRDefault="00A0516F" w:rsidP="000F5D8B">
      <w:pPr>
        <w:spacing w:line="360" w:lineRule="auto"/>
        <w:rPr>
          <w:color w:val="000000" w:themeColor="text1"/>
        </w:rPr>
      </w:pPr>
    </w:p>
    <w:p w:rsidR="00A0516F" w:rsidRPr="00366BF3" w:rsidRDefault="00A0516F" w:rsidP="000F5D8B">
      <w:pPr>
        <w:spacing w:after="160" w:line="360" w:lineRule="auto"/>
        <w:rPr>
          <w:b/>
          <w:color w:val="000000" w:themeColor="text1"/>
        </w:rPr>
      </w:pPr>
      <w:r w:rsidRPr="00366BF3">
        <w:rPr>
          <w:b/>
          <w:color w:val="000000" w:themeColor="text1"/>
        </w:rPr>
        <w:br w:type="page"/>
      </w:r>
    </w:p>
    <w:p w:rsidR="00C74A2A" w:rsidRPr="00366BF3" w:rsidRDefault="00C74A2A" w:rsidP="000F5D8B">
      <w:pPr>
        <w:spacing w:line="360" w:lineRule="auto"/>
        <w:rPr>
          <w:color w:val="000000" w:themeColor="text1"/>
        </w:rPr>
      </w:pPr>
      <w:r w:rsidRPr="00366BF3">
        <w:rPr>
          <w:b/>
          <w:color w:val="000000" w:themeColor="text1"/>
        </w:rPr>
        <w:lastRenderedPageBreak/>
        <w:t>Résumé</w:t>
      </w:r>
      <w:r w:rsidRPr="00366BF3">
        <w:rPr>
          <w:color w:val="000000" w:themeColor="text1"/>
        </w:rPr>
        <w:t xml:space="preserve"> : </w:t>
      </w:r>
    </w:p>
    <w:p w:rsidR="00A0516F" w:rsidRPr="00366BF3" w:rsidRDefault="00A0516F" w:rsidP="000F5D8B">
      <w:pPr>
        <w:spacing w:line="360" w:lineRule="auto"/>
        <w:jc w:val="both"/>
        <w:rPr>
          <w:color w:val="000000" w:themeColor="text1"/>
        </w:rPr>
      </w:pPr>
      <w:r w:rsidRPr="00366BF3">
        <w:rPr>
          <w:color w:val="000000" w:themeColor="text1"/>
        </w:rPr>
        <w:t xml:space="preserve">Par la qualité et le prix des formules de services qu’ils proposent aux industriels des filières agroalimentaires, les PSL sont devenus des acteurs incontournables au sein des chaines logistiques. Par conséquent, se pose la question de la justesse de cette formule de service au regard d’un contexte de conflit permanent autour la seule variable prix entre les industriels et les distributeurs. Il s’agit en nous appuyant sur une enquête menée </w:t>
      </w:r>
      <w:r w:rsidRPr="00366BF3">
        <w:rPr>
          <w:color w:val="000000" w:themeColor="text1"/>
          <w:szCs w:val="24"/>
        </w:rPr>
        <w:t>au niveau de trois territoires (la Bretagne, la Normandie et la Loire atlantique) de déterminer quelle est la formule de service que souhaite privilégier l’industriel.</w:t>
      </w:r>
    </w:p>
    <w:p w:rsidR="00D160A0" w:rsidRPr="00366BF3" w:rsidRDefault="00D160A0" w:rsidP="000F5D8B">
      <w:pPr>
        <w:spacing w:line="360" w:lineRule="auto"/>
        <w:rPr>
          <w:color w:val="000000" w:themeColor="text1"/>
        </w:rPr>
      </w:pPr>
    </w:p>
    <w:p w:rsidR="00C74A2A" w:rsidRPr="00366BF3" w:rsidRDefault="00C74A2A" w:rsidP="00AE1A37">
      <w:pPr>
        <w:spacing w:line="360" w:lineRule="auto"/>
        <w:jc w:val="both"/>
        <w:rPr>
          <w:color w:val="000000" w:themeColor="text1"/>
        </w:rPr>
      </w:pPr>
      <w:r w:rsidRPr="00366BF3">
        <w:rPr>
          <w:b/>
          <w:color w:val="000000" w:themeColor="text1"/>
        </w:rPr>
        <w:t>Mots Clés</w:t>
      </w:r>
      <w:r w:rsidRPr="00366BF3">
        <w:rPr>
          <w:color w:val="000000" w:themeColor="text1"/>
        </w:rPr>
        <w:t xml:space="preserve"> : </w:t>
      </w:r>
      <w:r w:rsidR="00271E3D" w:rsidRPr="00366BF3">
        <w:rPr>
          <w:color w:val="000000" w:themeColor="text1"/>
        </w:rPr>
        <w:t>r</w:t>
      </w:r>
      <w:r w:rsidRPr="00366BF3">
        <w:rPr>
          <w:color w:val="000000" w:themeColor="text1"/>
        </w:rPr>
        <w:t>elation industrie/commerce, valeur ajoutée client, prestataires de services logistiques</w:t>
      </w:r>
      <w:r w:rsidR="00D160A0" w:rsidRPr="00366BF3">
        <w:rPr>
          <w:color w:val="000000" w:themeColor="text1"/>
        </w:rPr>
        <w:t>, formule de service</w:t>
      </w:r>
      <w:r w:rsidR="00672791" w:rsidRPr="00366BF3">
        <w:rPr>
          <w:color w:val="000000" w:themeColor="text1"/>
        </w:rPr>
        <w:t>.</w:t>
      </w:r>
    </w:p>
    <w:p w:rsidR="00A0516F" w:rsidRPr="00366BF3" w:rsidRDefault="00A0516F" w:rsidP="000F5D8B">
      <w:pPr>
        <w:spacing w:line="360" w:lineRule="auto"/>
        <w:rPr>
          <w:color w:val="000000" w:themeColor="text1"/>
        </w:rPr>
      </w:pPr>
    </w:p>
    <w:p w:rsidR="00A0516F" w:rsidRPr="00366BF3" w:rsidRDefault="00A0516F" w:rsidP="000F5D8B">
      <w:pPr>
        <w:spacing w:line="360" w:lineRule="auto"/>
        <w:rPr>
          <w:color w:val="000000" w:themeColor="text1"/>
        </w:rPr>
      </w:pPr>
    </w:p>
    <w:p w:rsidR="00A0516F" w:rsidRPr="00366BF3" w:rsidRDefault="00A0516F" w:rsidP="000F5D8B">
      <w:pPr>
        <w:spacing w:after="200" w:line="360" w:lineRule="auto"/>
        <w:jc w:val="both"/>
        <w:rPr>
          <w:b/>
          <w:color w:val="000000" w:themeColor="text1"/>
          <w:szCs w:val="24"/>
          <w:lang w:val="en-GB"/>
        </w:rPr>
      </w:pPr>
      <w:r w:rsidRPr="00366BF3">
        <w:rPr>
          <w:b/>
          <w:color w:val="000000" w:themeColor="text1"/>
          <w:szCs w:val="24"/>
          <w:lang w:val="en-GB"/>
        </w:rPr>
        <w:t>Abstract</w:t>
      </w:r>
    </w:p>
    <w:p w:rsidR="00A0516F" w:rsidRPr="00366BF3" w:rsidRDefault="00A0516F" w:rsidP="000F5D8B">
      <w:pPr>
        <w:spacing w:line="360" w:lineRule="auto"/>
        <w:rPr>
          <w:color w:val="000000" w:themeColor="text1"/>
          <w:lang w:val="en-US"/>
        </w:rPr>
      </w:pPr>
    </w:p>
    <w:p w:rsidR="00A0516F" w:rsidRPr="00366BF3" w:rsidRDefault="00A0516F" w:rsidP="00AE1A37">
      <w:pPr>
        <w:spacing w:line="360" w:lineRule="auto"/>
        <w:jc w:val="both"/>
        <w:rPr>
          <w:color w:val="000000" w:themeColor="text1"/>
          <w:lang w:val="en-US"/>
        </w:rPr>
      </w:pPr>
      <w:r w:rsidRPr="00366BF3">
        <w:rPr>
          <w:color w:val="000000" w:themeColor="text1"/>
          <w:lang w:val="en-US"/>
        </w:rPr>
        <w:t xml:space="preserve">Logistics Service Providers (LSP) have become one of the main players in the supply chain thanks to the quality and the price of service packages offered to the food industry. </w:t>
      </w:r>
    </w:p>
    <w:p w:rsidR="00A0516F" w:rsidRPr="00366BF3" w:rsidRDefault="00A0516F" w:rsidP="00AE1A37">
      <w:pPr>
        <w:spacing w:line="360" w:lineRule="auto"/>
        <w:jc w:val="both"/>
        <w:rPr>
          <w:color w:val="000000" w:themeColor="text1"/>
          <w:lang w:val="en-US"/>
        </w:rPr>
      </w:pPr>
      <w:r w:rsidRPr="00366BF3">
        <w:rPr>
          <w:color w:val="000000" w:themeColor="text1"/>
          <w:lang w:val="en-US"/>
        </w:rPr>
        <w:t>This article discusses the adequacy of services packages developped by the LSP in a context of permanent conflict between industrials and distributors. This analysis is based on an empirical st</w:t>
      </w:r>
      <w:r w:rsidR="00F55AD8">
        <w:rPr>
          <w:color w:val="000000" w:themeColor="text1"/>
          <w:lang w:val="en-US"/>
        </w:rPr>
        <w:t>udy in three geographical areas</w:t>
      </w:r>
      <w:r w:rsidRPr="00366BF3">
        <w:rPr>
          <w:color w:val="000000" w:themeColor="text1"/>
          <w:lang w:val="en-US"/>
        </w:rPr>
        <w:t>: Brittany, Normandy and the Loire-Atlantique region. Our aim is to determine what type of service packages the food industry would eventually favour.</w:t>
      </w:r>
    </w:p>
    <w:p w:rsidR="00A0516F" w:rsidRPr="00366BF3" w:rsidRDefault="00A0516F" w:rsidP="000F5D8B">
      <w:pPr>
        <w:spacing w:line="360" w:lineRule="auto"/>
        <w:rPr>
          <w:color w:val="000000" w:themeColor="text1"/>
          <w:lang w:val="en-US"/>
        </w:rPr>
      </w:pPr>
    </w:p>
    <w:p w:rsidR="00A0516F" w:rsidRPr="00366BF3" w:rsidRDefault="00A0516F" w:rsidP="00AE1A37">
      <w:pPr>
        <w:spacing w:line="360" w:lineRule="auto"/>
        <w:jc w:val="both"/>
        <w:rPr>
          <w:color w:val="000000" w:themeColor="text1"/>
          <w:lang w:val="en-US"/>
        </w:rPr>
      </w:pPr>
      <w:r w:rsidRPr="00366BF3">
        <w:rPr>
          <w:b/>
          <w:color w:val="000000" w:themeColor="text1"/>
          <w:lang w:val="en-GB"/>
        </w:rPr>
        <w:t>Keys words</w:t>
      </w:r>
      <w:r w:rsidRPr="00366BF3">
        <w:rPr>
          <w:color w:val="000000" w:themeColor="text1"/>
          <w:lang w:val="en-GB"/>
        </w:rPr>
        <w:t xml:space="preserve">: Industry / Trade relationship, </w:t>
      </w:r>
      <w:r w:rsidRPr="00366BF3">
        <w:rPr>
          <w:color w:val="000000" w:themeColor="text1"/>
          <w:szCs w:val="24"/>
          <w:lang w:val="en-US"/>
        </w:rPr>
        <w:t xml:space="preserve">Added Customer Value, </w:t>
      </w:r>
      <w:r w:rsidRPr="00366BF3">
        <w:rPr>
          <w:color w:val="000000" w:themeColor="text1"/>
          <w:lang w:val="en-US"/>
        </w:rPr>
        <w:t>Logistics Service Providers, service packages</w:t>
      </w:r>
    </w:p>
    <w:p w:rsidR="00A0516F" w:rsidRPr="00366BF3" w:rsidRDefault="00A0516F" w:rsidP="000F5D8B">
      <w:pPr>
        <w:spacing w:line="360" w:lineRule="auto"/>
        <w:rPr>
          <w:color w:val="000000" w:themeColor="text1"/>
          <w:lang w:val="en-US"/>
        </w:rPr>
      </w:pPr>
    </w:p>
    <w:p w:rsidR="00A0516F" w:rsidRPr="00366BF3" w:rsidRDefault="00A0516F" w:rsidP="000F5D8B">
      <w:pPr>
        <w:spacing w:line="360" w:lineRule="auto"/>
        <w:rPr>
          <w:color w:val="000000" w:themeColor="text1"/>
          <w:lang w:val="en-US"/>
        </w:rPr>
      </w:pPr>
    </w:p>
    <w:p w:rsidR="00A0516F" w:rsidRPr="00366BF3" w:rsidRDefault="00A0516F" w:rsidP="000F5D8B">
      <w:pPr>
        <w:spacing w:line="360" w:lineRule="auto"/>
        <w:rPr>
          <w:color w:val="000000" w:themeColor="text1"/>
          <w:lang w:val="en-US"/>
        </w:rPr>
      </w:pPr>
    </w:p>
    <w:p w:rsidR="00C74A2A" w:rsidRPr="00366BF3" w:rsidRDefault="00C74A2A" w:rsidP="000F5D8B">
      <w:pPr>
        <w:spacing w:after="160" w:line="360" w:lineRule="auto"/>
        <w:rPr>
          <w:color w:val="000000" w:themeColor="text1"/>
          <w:lang w:val="en-US"/>
        </w:rPr>
      </w:pPr>
      <w:r w:rsidRPr="00366BF3">
        <w:rPr>
          <w:color w:val="000000" w:themeColor="text1"/>
          <w:lang w:val="en-US"/>
        </w:rPr>
        <w:br w:type="page"/>
      </w:r>
    </w:p>
    <w:p w:rsidR="00C10A8F" w:rsidRPr="00366BF3" w:rsidRDefault="00C74A2A" w:rsidP="00281482">
      <w:pPr>
        <w:spacing w:line="480" w:lineRule="auto"/>
        <w:rPr>
          <w:b/>
          <w:color w:val="000000" w:themeColor="text1"/>
        </w:rPr>
      </w:pPr>
      <w:r w:rsidRPr="00366BF3">
        <w:rPr>
          <w:b/>
          <w:color w:val="000000" w:themeColor="text1"/>
        </w:rPr>
        <w:lastRenderedPageBreak/>
        <w:t>Introduction</w:t>
      </w:r>
    </w:p>
    <w:p w:rsidR="00CC4A9F" w:rsidRPr="00366BF3" w:rsidRDefault="00C74A2A" w:rsidP="00281482">
      <w:pPr>
        <w:spacing w:line="480" w:lineRule="auto"/>
        <w:jc w:val="both"/>
        <w:rPr>
          <w:color w:val="000000" w:themeColor="text1"/>
          <w:szCs w:val="24"/>
        </w:rPr>
      </w:pPr>
      <w:r w:rsidRPr="00366BF3">
        <w:rPr>
          <w:color w:val="000000" w:themeColor="text1"/>
        </w:rPr>
        <w:t>Dans un contexte économique de crise auquel s’ajoutent les exigences commerciales toujours plus prononcées des distributeurs, les stratégies des industriels des filières alimentaires sont</w:t>
      </w:r>
      <w:r w:rsidR="001E74E1" w:rsidRPr="00366BF3">
        <w:rPr>
          <w:color w:val="000000" w:themeColor="text1"/>
        </w:rPr>
        <w:t xml:space="preserve"> </w:t>
      </w:r>
      <w:r w:rsidRPr="00366BF3">
        <w:rPr>
          <w:color w:val="000000" w:themeColor="text1"/>
        </w:rPr>
        <w:t xml:space="preserve">fortement impactées par la qualité et le prix des </w:t>
      </w:r>
      <w:r w:rsidR="00A20E48" w:rsidRPr="00366BF3">
        <w:rPr>
          <w:color w:val="000000" w:themeColor="text1"/>
        </w:rPr>
        <w:t>solutions logistiques</w:t>
      </w:r>
      <w:r w:rsidRPr="00366BF3">
        <w:rPr>
          <w:color w:val="000000" w:themeColor="text1"/>
        </w:rPr>
        <w:t xml:space="preserve"> que les Prestataires de Services Logistiques (PSL) ont su mettre en œuvre pour leurs clients</w:t>
      </w:r>
      <w:r w:rsidR="003560A4" w:rsidRPr="00366BF3">
        <w:rPr>
          <w:color w:val="000000" w:themeColor="text1"/>
        </w:rPr>
        <w:t xml:space="preserve"> (</w:t>
      </w:r>
      <w:r w:rsidR="00B773E5" w:rsidRPr="00366BF3">
        <w:rPr>
          <w:color w:val="000000" w:themeColor="text1"/>
        </w:rPr>
        <w:t xml:space="preserve">Filser et </w:t>
      </w:r>
      <w:r w:rsidR="00AF5116">
        <w:rPr>
          <w:i/>
          <w:color w:val="000000" w:themeColor="text1"/>
        </w:rPr>
        <w:t>al.</w:t>
      </w:r>
      <w:r w:rsidR="00B773E5" w:rsidRPr="00366BF3">
        <w:rPr>
          <w:color w:val="000000" w:themeColor="text1"/>
        </w:rPr>
        <w:t xml:space="preserve">, 2012, </w:t>
      </w:r>
      <w:r w:rsidR="003560A4" w:rsidRPr="00366BF3">
        <w:rPr>
          <w:color w:val="000000" w:themeColor="text1"/>
        </w:rPr>
        <w:t xml:space="preserve">Anderson et </w:t>
      </w:r>
      <w:r w:rsidR="00AF5116">
        <w:rPr>
          <w:i/>
          <w:color w:val="000000" w:themeColor="text1"/>
        </w:rPr>
        <w:t>al.</w:t>
      </w:r>
      <w:r w:rsidR="00595B5B" w:rsidRPr="00366BF3">
        <w:rPr>
          <w:i/>
          <w:color w:val="000000" w:themeColor="text1"/>
        </w:rPr>
        <w:t xml:space="preserve">, </w:t>
      </w:r>
      <w:r w:rsidR="00595B5B" w:rsidRPr="00366BF3">
        <w:rPr>
          <w:color w:val="000000" w:themeColor="text1"/>
        </w:rPr>
        <w:t>2011</w:t>
      </w:r>
      <w:r w:rsidR="003560A4" w:rsidRPr="00366BF3">
        <w:rPr>
          <w:color w:val="000000" w:themeColor="text1"/>
        </w:rPr>
        <w:t>)</w:t>
      </w:r>
      <w:r w:rsidR="00595B5B" w:rsidRPr="00366BF3">
        <w:rPr>
          <w:color w:val="000000" w:themeColor="text1"/>
        </w:rPr>
        <w:t>.</w:t>
      </w:r>
      <w:r w:rsidRPr="00366BF3">
        <w:rPr>
          <w:color w:val="000000" w:themeColor="text1"/>
        </w:rPr>
        <w:t xml:space="preserve"> </w:t>
      </w:r>
      <w:r w:rsidR="009B7858" w:rsidRPr="00366BF3">
        <w:rPr>
          <w:color w:val="000000" w:themeColor="text1"/>
        </w:rPr>
        <w:t xml:space="preserve">En effet, face aux exigences actuelles des distributeurs (circuits imposés, temps de réactivité de plus en plus court, </w:t>
      </w:r>
      <w:r w:rsidR="009B7858" w:rsidRPr="00366BF3">
        <w:rPr>
          <w:i/>
          <w:color w:val="000000" w:themeColor="text1"/>
        </w:rPr>
        <w:t>etc</w:t>
      </w:r>
      <w:r w:rsidR="009B7858" w:rsidRPr="00366BF3">
        <w:rPr>
          <w:color w:val="000000" w:themeColor="text1"/>
        </w:rPr>
        <w:t>.)</w:t>
      </w:r>
      <w:r w:rsidR="00852F15" w:rsidRPr="00366BF3">
        <w:rPr>
          <w:color w:val="000000" w:themeColor="text1"/>
        </w:rPr>
        <w:t>,</w:t>
      </w:r>
      <w:r w:rsidR="006D2E46" w:rsidRPr="00366BF3">
        <w:rPr>
          <w:color w:val="000000" w:themeColor="text1"/>
        </w:rPr>
        <w:t xml:space="preserve"> </w:t>
      </w:r>
      <w:r w:rsidR="003B50E6" w:rsidRPr="00366BF3">
        <w:rPr>
          <w:color w:val="000000" w:themeColor="text1"/>
        </w:rPr>
        <w:t>l’expertise du PSL, déployée au</w:t>
      </w:r>
      <w:r w:rsidR="006D2E46" w:rsidRPr="00366BF3">
        <w:rPr>
          <w:color w:val="000000" w:themeColor="text1"/>
        </w:rPr>
        <w:t xml:space="preserve">tour d’un </w:t>
      </w:r>
      <w:r w:rsidR="00A20E48" w:rsidRPr="00366BF3">
        <w:rPr>
          <w:color w:val="000000" w:themeColor="text1"/>
        </w:rPr>
        <w:t>système d’offre</w:t>
      </w:r>
      <w:r w:rsidR="006D2E46" w:rsidRPr="00366BF3">
        <w:rPr>
          <w:color w:val="000000" w:themeColor="text1"/>
        </w:rPr>
        <w:t xml:space="preserve"> permettant de projeter des produits frais à cadence soutenue, est devenue indispensable aux industriels, quel</w:t>
      </w:r>
      <w:r w:rsidR="00C93A0B" w:rsidRPr="00366BF3">
        <w:rPr>
          <w:color w:val="000000" w:themeColor="text1"/>
        </w:rPr>
        <w:t>s</w:t>
      </w:r>
      <w:r w:rsidR="006D2E46" w:rsidRPr="00366BF3">
        <w:rPr>
          <w:color w:val="000000" w:themeColor="text1"/>
        </w:rPr>
        <w:t xml:space="preserve"> que soi</w:t>
      </w:r>
      <w:r w:rsidR="00C93A0B" w:rsidRPr="00366BF3">
        <w:rPr>
          <w:color w:val="000000" w:themeColor="text1"/>
        </w:rPr>
        <w:t>en</w:t>
      </w:r>
      <w:r w:rsidR="006D2E46" w:rsidRPr="00366BF3">
        <w:rPr>
          <w:color w:val="000000" w:themeColor="text1"/>
        </w:rPr>
        <w:t>t leur taille et leurs métiers</w:t>
      </w:r>
      <w:r w:rsidR="009B7858" w:rsidRPr="00366BF3">
        <w:rPr>
          <w:color w:val="000000" w:themeColor="text1"/>
        </w:rPr>
        <w:t xml:space="preserve">. </w:t>
      </w:r>
    </w:p>
    <w:p w:rsidR="00352119" w:rsidRPr="00366BF3" w:rsidRDefault="00E65A3B" w:rsidP="00281482">
      <w:pPr>
        <w:spacing w:line="480" w:lineRule="auto"/>
        <w:jc w:val="both"/>
        <w:rPr>
          <w:color w:val="000000" w:themeColor="text1"/>
        </w:rPr>
      </w:pPr>
      <w:r w:rsidRPr="00366BF3">
        <w:rPr>
          <w:color w:val="000000" w:themeColor="text1"/>
          <w:szCs w:val="24"/>
        </w:rPr>
        <w:t>Le PSL devient donc un acteur incontournable dans l’élaboration, l’organisation et</w:t>
      </w:r>
      <w:r w:rsidRPr="00366BF3">
        <w:rPr>
          <w:color w:val="000000" w:themeColor="text1"/>
        </w:rPr>
        <w:t xml:space="preserve"> </w:t>
      </w:r>
      <w:r w:rsidR="009B7858" w:rsidRPr="00366BF3">
        <w:rPr>
          <w:color w:val="000000" w:themeColor="text1"/>
          <w:szCs w:val="24"/>
        </w:rPr>
        <w:t>le suivi au quotidien des chaines logistiques</w:t>
      </w:r>
      <w:r w:rsidR="005B4B86" w:rsidRPr="00366BF3">
        <w:rPr>
          <w:color w:val="000000" w:themeColor="text1"/>
          <w:szCs w:val="24"/>
        </w:rPr>
        <w:t xml:space="preserve"> des filières alimentaires</w:t>
      </w:r>
      <w:r w:rsidRPr="00366BF3">
        <w:rPr>
          <w:color w:val="000000" w:themeColor="text1"/>
          <w:szCs w:val="24"/>
        </w:rPr>
        <w:t xml:space="preserve"> tout en posant la question de la place </w:t>
      </w:r>
      <w:r w:rsidR="00852F15" w:rsidRPr="00366BF3">
        <w:rPr>
          <w:color w:val="000000" w:themeColor="text1"/>
          <w:szCs w:val="24"/>
        </w:rPr>
        <w:t xml:space="preserve">qu’il lui est </w:t>
      </w:r>
      <w:r w:rsidRPr="00366BF3">
        <w:rPr>
          <w:color w:val="000000" w:themeColor="text1"/>
          <w:szCs w:val="24"/>
        </w:rPr>
        <w:t xml:space="preserve">accordé en </w:t>
      </w:r>
      <w:r w:rsidR="00092BF8" w:rsidRPr="00366BF3">
        <w:rPr>
          <w:color w:val="000000" w:themeColor="text1"/>
          <w:szCs w:val="24"/>
        </w:rPr>
        <w:t>termes</w:t>
      </w:r>
      <w:r w:rsidRPr="00366BF3">
        <w:rPr>
          <w:color w:val="000000" w:themeColor="text1"/>
          <w:szCs w:val="24"/>
        </w:rPr>
        <w:t xml:space="preserve"> de </w:t>
      </w:r>
      <w:r w:rsidR="00852F15" w:rsidRPr="00366BF3">
        <w:rPr>
          <w:color w:val="000000" w:themeColor="text1"/>
          <w:szCs w:val="24"/>
        </w:rPr>
        <w:t xml:space="preserve">partage de la </w:t>
      </w:r>
      <w:r w:rsidR="00490CDC" w:rsidRPr="00366BF3">
        <w:rPr>
          <w:color w:val="000000" w:themeColor="text1"/>
          <w:szCs w:val="24"/>
        </w:rPr>
        <w:t>valeur ajoutée</w:t>
      </w:r>
      <w:r w:rsidRPr="00366BF3">
        <w:rPr>
          <w:color w:val="000000" w:themeColor="text1"/>
          <w:szCs w:val="24"/>
        </w:rPr>
        <w:t xml:space="preserve"> au s</w:t>
      </w:r>
      <w:r w:rsidR="00852F15" w:rsidRPr="00366BF3">
        <w:rPr>
          <w:color w:val="000000" w:themeColor="text1"/>
          <w:szCs w:val="24"/>
        </w:rPr>
        <w:t>ei</w:t>
      </w:r>
      <w:r w:rsidRPr="00366BF3">
        <w:rPr>
          <w:color w:val="000000" w:themeColor="text1"/>
          <w:szCs w:val="24"/>
        </w:rPr>
        <w:t>n du canal de distribution</w:t>
      </w:r>
      <w:r w:rsidR="00490CDC" w:rsidRPr="00366BF3">
        <w:rPr>
          <w:color w:val="000000" w:themeColor="text1"/>
          <w:szCs w:val="24"/>
        </w:rPr>
        <w:t>. (</w:t>
      </w:r>
      <w:r w:rsidR="00C723CE" w:rsidRPr="00366BF3">
        <w:rPr>
          <w:color w:val="000000" w:themeColor="text1"/>
          <w:szCs w:val="24"/>
        </w:rPr>
        <w:t>Camman et Livolsi, 2012</w:t>
      </w:r>
      <w:r w:rsidR="009B7858" w:rsidRPr="00366BF3">
        <w:rPr>
          <w:color w:val="000000" w:themeColor="text1"/>
          <w:szCs w:val="24"/>
        </w:rPr>
        <w:t>).</w:t>
      </w:r>
      <w:r w:rsidRPr="00366BF3">
        <w:rPr>
          <w:color w:val="000000" w:themeColor="text1"/>
          <w:szCs w:val="24"/>
        </w:rPr>
        <w:t xml:space="preserve"> </w:t>
      </w:r>
      <w:r w:rsidR="00852F15" w:rsidRPr="00366BF3">
        <w:rPr>
          <w:color w:val="000000" w:themeColor="text1"/>
          <w:szCs w:val="24"/>
        </w:rPr>
        <w:t>Cette</w:t>
      </w:r>
      <w:r w:rsidRPr="00366BF3">
        <w:rPr>
          <w:color w:val="000000" w:themeColor="text1"/>
          <w:szCs w:val="24"/>
        </w:rPr>
        <w:t xml:space="preserve"> question s’avère </w:t>
      </w:r>
      <w:r w:rsidR="00896565" w:rsidRPr="00366BF3">
        <w:rPr>
          <w:color w:val="000000" w:themeColor="text1"/>
          <w:szCs w:val="24"/>
        </w:rPr>
        <w:t xml:space="preserve">d’autant plus </w:t>
      </w:r>
      <w:r w:rsidRPr="00366BF3">
        <w:rPr>
          <w:color w:val="000000" w:themeColor="text1"/>
          <w:szCs w:val="24"/>
        </w:rPr>
        <w:t xml:space="preserve">prégnante que les </w:t>
      </w:r>
      <w:r w:rsidR="00B307BE" w:rsidRPr="00366BF3">
        <w:rPr>
          <w:color w:val="000000" w:themeColor="text1"/>
          <w:szCs w:val="24"/>
        </w:rPr>
        <w:t>industri</w:t>
      </w:r>
      <w:r w:rsidR="00087FED" w:rsidRPr="00366BF3">
        <w:rPr>
          <w:color w:val="000000" w:themeColor="text1"/>
          <w:szCs w:val="24"/>
        </w:rPr>
        <w:t>es agro-alimentaires</w:t>
      </w:r>
      <w:r w:rsidRPr="00366BF3">
        <w:rPr>
          <w:color w:val="000000" w:themeColor="text1"/>
          <w:szCs w:val="24"/>
        </w:rPr>
        <w:t xml:space="preserve"> évoluent dans un contexte concurrentiel exacerbé par une crise persistante depuis 2008</w:t>
      </w:r>
      <w:r w:rsidR="00092BF8" w:rsidRPr="00366BF3">
        <w:rPr>
          <w:color w:val="000000" w:themeColor="text1"/>
          <w:szCs w:val="24"/>
        </w:rPr>
        <w:t xml:space="preserve"> et </w:t>
      </w:r>
      <w:r w:rsidR="00B307BE" w:rsidRPr="00366BF3">
        <w:rPr>
          <w:color w:val="000000" w:themeColor="text1"/>
          <w:szCs w:val="24"/>
        </w:rPr>
        <w:t>qu’</w:t>
      </w:r>
      <w:r w:rsidR="006036EA" w:rsidRPr="00366BF3">
        <w:rPr>
          <w:color w:val="000000" w:themeColor="text1"/>
          <w:szCs w:val="24"/>
        </w:rPr>
        <w:t>elle</w:t>
      </w:r>
      <w:r w:rsidR="00B307BE" w:rsidRPr="00366BF3">
        <w:rPr>
          <w:color w:val="000000" w:themeColor="text1"/>
          <w:szCs w:val="24"/>
        </w:rPr>
        <w:t xml:space="preserve">s </w:t>
      </w:r>
      <w:r w:rsidR="00087FED" w:rsidRPr="00366BF3">
        <w:rPr>
          <w:color w:val="000000" w:themeColor="text1"/>
          <w:szCs w:val="24"/>
        </w:rPr>
        <w:t>restent</w:t>
      </w:r>
      <w:r w:rsidR="00B307BE" w:rsidRPr="00366BF3">
        <w:rPr>
          <w:color w:val="000000" w:themeColor="text1"/>
          <w:szCs w:val="24"/>
        </w:rPr>
        <w:t xml:space="preserve"> engagées dans </w:t>
      </w:r>
      <w:r w:rsidR="009C5BCA" w:rsidRPr="00366BF3">
        <w:rPr>
          <w:color w:val="000000" w:themeColor="text1"/>
          <w:szCs w:val="24"/>
        </w:rPr>
        <w:t>des rapports constamment conflictuels</w:t>
      </w:r>
      <w:r w:rsidR="00092BF8" w:rsidRPr="00366BF3">
        <w:rPr>
          <w:color w:val="000000" w:themeColor="text1"/>
          <w:szCs w:val="24"/>
        </w:rPr>
        <w:t xml:space="preserve"> </w:t>
      </w:r>
      <w:r w:rsidR="00B307BE" w:rsidRPr="00366BF3">
        <w:rPr>
          <w:color w:val="000000" w:themeColor="text1"/>
          <w:szCs w:val="24"/>
        </w:rPr>
        <w:t xml:space="preserve">avec les </w:t>
      </w:r>
      <w:r w:rsidR="00092BF8" w:rsidRPr="00366BF3">
        <w:rPr>
          <w:color w:val="000000" w:themeColor="text1"/>
          <w:szCs w:val="24"/>
        </w:rPr>
        <w:t>distributeurs autour de la seule variable prix</w:t>
      </w:r>
      <w:r w:rsidR="00B307BE" w:rsidRPr="00366BF3">
        <w:rPr>
          <w:color w:val="000000" w:themeColor="text1"/>
          <w:szCs w:val="24"/>
        </w:rPr>
        <w:t xml:space="preserve">. </w:t>
      </w:r>
      <w:r w:rsidR="00C5062E" w:rsidRPr="00366BF3">
        <w:rPr>
          <w:color w:val="000000" w:themeColor="text1"/>
          <w:szCs w:val="24"/>
        </w:rPr>
        <w:t>Par ailleurs, le contexte législatif lié à l’application de la LME, même légèrement modifié</w:t>
      </w:r>
      <w:r w:rsidR="00CC4170" w:rsidRPr="00366BF3">
        <w:rPr>
          <w:color w:val="000000" w:themeColor="text1"/>
          <w:szCs w:val="24"/>
        </w:rPr>
        <w:t>e</w:t>
      </w:r>
      <w:r w:rsidR="00C5062E" w:rsidRPr="00366BF3">
        <w:rPr>
          <w:color w:val="000000" w:themeColor="text1"/>
          <w:szCs w:val="24"/>
        </w:rPr>
        <w:t xml:space="preserve"> par les lois Hamon</w:t>
      </w:r>
      <w:r w:rsidR="00C92F09" w:rsidRPr="00366BF3">
        <w:rPr>
          <w:rStyle w:val="Appelnotedebasdep"/>
          <w:color w:val="000000" w:themeColor="text1"/>
          <w:szCs w:val="24"/>
        </w:rPr>
        <w:t xml:space="preserve"> </w:t>
      </w:r>
      <w:r w:rsidR="00454CC3" w:rsidRPr="00366BF3">
        <w:rPr>
          <w:color w:val="000000" w:themeColor="text1"/>
        </w:rPr>
        <w:t>(2014)</w:t>
      </w:r>
      <w:r w:rsidR="00C5062E" w:rsidRPr="00366BF3">
        <w:rPr>
          <w:color w:val="000000" w:themeColor="text1"/>
          <w:szCs w:val="24"/>
        </w:rPr>
        <w:t>, Alur</w:t>
      </w:r>
      <w:r w:rsidR="00454CC3" w:rsidRPr="00366BF3">
        <w:rPr>
          <w:color w:val="000000" w:themeColor="text1"/>
          <w:szCs w:val="24"/>
        </w:rPr>
        <w:t xml:space="preserve"> (2014),</w:t>
      </w:r>
      <w:r w:rsidR="00C5062E" w:rsidRPr="00366BF3">
        <w:rPr>
          <w:color w:val="000000" w:themeColor="text1"/>
          <w:szCs w:val="24"/>
        </w:rPr>
        <w:t xml:space="preserve"> Macron</w:t>
      </w:r>
      <w:r w:rsidR="00454CC3" w:rsidRPr="00366BF3">
        <w:rPr>
          <w:color w:val="000000" w:themeColor="text1"/>
          <w:szCs w:val="24"/>
        </w:rPr>
        <w:t xml:space="preserve"> (2015) </w:t>
      </w:r>
      <w:r w:rsidR="00C5062E" w:rsidRPr="00366BF3">
        <w:rPr>
          <w:color w:val="000000" w:themeColor="text1"/>
          <w:szCs w:val="24"/>
        </w:rPr>
        <w:t>et Sapin 2</w:t>
      </w:r>
      <w:r w:rsidR="00454CC3" w:rsidRPr="00366BF3">
        <w:rPr>
          <w:color w:val="000000" w:themeColor="text1"/>
          <w:szCs w:val="24"/>
        </w:rPr>
        <w:t xml:space="preserve"> (2016)</w:t>
      </w:r>
      <w:r w:rsidR="00C5062E" w:rsidRPr="00366BF3">
        <w:rPr>
          <w:color w:val="000000" w:themeColor="text1"/>
          <w:szCs w:val="24"/>
        </w:rPr>
        <w:t xml:space="preserve"> a contribué </w:t>
      </w:r>
      <w:r w:rsidR="00C723CE" w:rsidRPr="00366BF3">
        <w:rPr>
          <w:color w:val="000000" w:themeColor="text1"/>
          <w:szCs w:val="24"/>
        </w:rPr>
        <w:t>à</w:t>
      </w:r>
      <w:r w:rsidR="00C5062E" w:rsidRPr="00366BF3">
        <w:rPr>
          <w:color w:val="000000" w:themeColor="text1"/>
          <w:szCs w:val="24"/>
        </w:rPr>
        <w:t xml:space="preserve"> sanctuariser les négociations commerciales de façon encore plus importante autour des champs du prix mais aussi du coût de la prestation logistique</w:t>
      </w:r>
      <w:r w:rsidR="00087FED" w:rsidRPr="00366BF3">
        <w:rPr>
          <w:color w:val="000000" w:themeColor="text1"/>
          <w:szCs w:val="24"/>
        </w:rPr>
        <w:t xml:space="preserve"> </w:t>
      </w:r>
      <w:r w:rsidR="00B307BE" w:rsidRPr="00366BF3">
        <w:rPr>
          <w:color w:val="000000" w:themeColor="text1"/>
          <w:szCs w:val="24"/>
        </w:rPr>
        <w:t>(</w:t>
      </w:r>
      <w:r w:rsidR="005E2B8D" w:rsidRPr="005E2B8D">
        <w:rPr>
          <w:color w:val="000000" w:themeColor="text1"/>
          <w:szCs w:val="24"/>
        </w:rPr>
        <w:t>Mevel et Morvan</w:t>
      </w:r>
      <w:r w:rsidR="005E2B8D">
        <w:rPr>
          <w:color w:val="000000" w:themeColor="text1"/>
          <w:szCs w:val="24"/>
        </w:rPr>
        <w:t>, 201</w:t>
      </w:r>
      <w:r w:rsidR="00956D9C">
        <w:rPr>
          <w:color w:val="000000" w:themeColor="text1"/>
          <w:szCs w:val="24"/>
        </w:rPr>
        <w:t>7</w:t>
      </w:r>
      <w:r w:rsidR="005E2B8D">
        <w:rPr>
          <w:color w:val="000000" w:themeColor="text1"/>
          <w:szCs w:val="24"/>
        </w:rPr>
        <w:t xml:space="preserve"> ; </w:t>
      </w:r>
      <w:r w:rsidR="003560A4" w:rsidRPr="00366BF3">
        <w:rPr>
          <w:color w:val="000000" w:themeColor="text1"/>
          <w:szCs w:val="24"/>
        </w:rPr>
        <w:t xml:space="preserve">Hocquelt et </w:t>
      </w:r>
      <w:r w:rsidR="00AF5116">
        <w:rPr>
          <w:i/>
          <w:color w:val="000000" w:themeColor="text1"/>
          <w:szCs w:val="24"/>
        </w:rPr>
        <w:t>al.</w:t>
      </w:r>
      <w:r w:rsidR="003560A4" w:rsidRPr="00366BF3">
        <w:rPr>
          <w:color w:val="000000" w:themeColor="text1"/>
          <w:szCs w:val="24"/>
        </w:rPr>
        <w:t>, 2016 ; Jorion, 2010</w:t>
      </w:r>
      <w:r w:rsidR="00B307BE" w:rsidRPr="00366BF3">
        <w:rPr>
          <w:color w:val="000000" w:themeColor="text1"/>
          <w:szCs w:val="24"/>
        </w:rPr>
        <w:t>)</w:t>
      </w:r>
      <w:r w:rsidR="003B50E6" w:rsidRPr="00366BF3">
        <w:rPr>
          <w:color w:val="000000" w:themeColor="text1"/>
          <w:szCs w:val="24"/>
        </w:rPr>
        <w:t>.</w:t>
      </w:r>
    </w:p>
    <w:p w:rsidR="00C5062E" w:rsidRPr="00366BF3" w:rsidRDefault="005B4B86" w:rsidP="00281482">
      <w:pPr>
        <w:spacing w:line="480" w:lineRule="auto"/>
        <w:jc w:val="both"/>
        <w:rPr>
          <w:color w:val="000000" w:themeColor="text1"/>
        </w:rPr>
      </w:pPr>
      <w:r w:rsidRPr="00366BF3">
        <w:rPr>
          <w:color w:val="000000" w:themeColor="text1"/>
          <w:szCs w:val="24"/>
        </w:rPr>
        <w:t>Un tel contexte législatif sign</w:t>
      </w:r>
      <w:r w:rsidR="00862195" w:rsidRPr="00366BF3">
        <w:rPr>
          <w:color w:val="000000" w:themeColor="text1"/>
          <w:szCs w:val="24"/>
        </w:rPr>
        <w:t xml:space="preserve">ifie </w:t>
      </w:r>
      <w:r w:rsidR="0008713A" w:rsidRPr="00366BF3">
        <w:rPr>
          <w:color w:val="000000" w:themeColor="text1"/>
          <w:szCs w:val="24"/>
        </w:rPr>
        <w:t xml:space="preserve">donc </w:t>
      </w:r>
      <w:r w:rsidR="00862195" w:rsidRPr="00366BF3">
        <w:rPr>
          <w:color w:val="000000" w:themeColor="text1"/>
          <w:szCs w:val="24"/>
        </w:rPr>
        <w:t xml:space="preserve">que </w:t>
      </w:r>
      <w:r w:rsidR="00C74A2A" w:rsidRPr="00366BF3">
        <w:rPr>
          <w:color w:val="000000" w:themeColor="text1"/>
        </w:rPr>
        <w:t xml:space="preserve">la quête de la valeur ajoutée des industriels </w:t>
      </w:r>
      <w:r w:rsidR="0008713A" w:rsidRPr="00366BF3">
        <w:rPr>
          <w:color w:val="000000" w:themeColor="text1"/>
        </w:rPr>
        <w:t xml:space="preserve">ne </w:t>
      </w:r>
      <w:r w:rsidR="00C74A2A" w:rsidRPr="00366BF3">
        <w:rPr>
          <w:color w:val="000000" w:themeColor="text1"/>
        </w:rPr>
        <w:t xml:space="preserve">passe </w:t>
      </w:r>
      <w:r w:rsidR="0008713A" w:rsidRPr="00366BF3">
        <w:rPr>
          <w:color w:val="000000" w:themeColor="text1"/>
        </w:rPr>
        <w:t xml:space="preserve">pas </w:t>
      </w:r>
      <w:r w:rsidR="004A6B3D" w:rsidRPr="00366BF3">
        <w:rPr>
          <w:color w:val="000000" w:themeColor="text1"/>
        </w:rPr>
        <w:t>seulement</w:t>
      </w:r>
      <w:r w:rsidR="00C74A2A" w:rsidRPr="00366BF3">
        <w:rPr>
          <w:color w:val="000000" w:themeColor="text1"/>
        </w:rPr>
        <w:t xml:space="preserve"> </w:t>
      </w:r>
      <w:r w:rsidR="00092BF8" w:rsidRPr="00366BF3">
        <w:rPr>
          <w:color w:val="000000" w:themeColor="text1"/>
        </w:rPr>
        <w:t>par le développement de politiques marketing innovantes</w:t>
      </w:r>
      <w:r w:rsidR="00C74A2A" w:rsidRPr="00366BF3">
        <w:rPr>
          <w:color w:val="000000" w:themeColor="text1"/>
        </w:rPr>
        <w:t xml:space="preserve"> et des achats mieux maitrisés</w:t>
      </w:r>
      <w:r w:rsidR="0008713A" w:rsidRPr="00366BF3">
        <w:rPr>
          <w:color w:val="000000" w:themeColor="text1"/>
        </w:rPr>
        <w:t>. En effet, la perpétuation du rapport de forces entre</w:t>
      </w:r>
      <w:r w:rsidR="00C74A2A" w:rsidRPr="00366BF3">
        <w:rPr>
          <w:color w:val="000000" w:themeColor="text1"/>
        </w:rPr>
        <w:t xml:space="preserve"> </w:t>
      </w:r>
      <w:r w:rsidR="0008713A" w:rsidRPr="00366BF3">
        <w:rPr>
          <w:color w:val="000000" w:themeColor="text1"/>
        </w:rPr>
        <w:t xml:space="preserve">industriels et distributeurs </w:t>
      </w:r>
      <w:r w:rsidR="00C74A2A" w:rsidRPr="00366BF3">
        <w:rPr>
          <w:color w:val="000000" w:themeColor="text1"/>
        </w:rPr>
        <w:t>nécessite</w:t>
      </w:r>
      <w:r w:rsidR="0008713A" w:rsidRPr="00366BF3">
        <w:rPr>
          <w:color w:val="000000" w:themeColor="text1"/>
        </w:rPr>
        <w:t xml:space="preserve"> désormais</w:t>
      </w:r>
      <w:r w:rsidR="00C74A2A" w:rsidRPr="00366BF3">
        <w:rPr>
          <w:color w:val="000000" w:themeColor="text1"/>
        </w:rPr>
        <w:t xml:space="preserve"> une réflexion plus appuyée </w:t>
      </w:r>
      <w:r w:rsidR="00E46ACC" w:rsidRPr="00366BF3">
        <w:rPr>
          <w:color w:val="000000" w:themeColor="text1"/>
        </w:rPr>
        <w:t>de leur part</w:t>
      </w:r>
      <w:r w:rsidR="0008713A" w:rsidRPr="00366BF3">
        <w:rPr>
          <w:color w:val="000000" w:themeColor="text1"/>
        </w:rPr>
        <w:t xml:space="preserve"> </w:t>
      </w:r>
      <w:r w:rsidR="00C74A2A" w:rsidRPr="00366BF3">
        <w:rPr>
          <w:color w:val="000000" w:themeColor="text1"/>
        </w:rPr>
        <w:t>sur l’organisation</w:t>
      </w:r>
      <w:r w:rsidR="00896565" w:rsidRPr="00366BF3">
        <w:rPr>
          <w:color w:val="000000" w:themeColor="text1"/>
        </w:rPr>
        <w:t xml:space="preserve"> de l</w:t>
      </w:r>
      <w:r w:rsidR="0008713A" w:rsidRPr="00366BF3">
        <w:rPr>
          <w:color w:val="000000" w:themeColor="text1"/>
        </w:rPr>
        <w:t>eur</w:t>
      </w:r>
      <w:r w:rsidR="00896565" w:rsidRPr="00366BF3">
        <w:rPr>
          <w:color w:val="000000" w:themeColor="text1"/>
        </w:rPr>
        <w:t xml:space="preserve"> supply chain alimentaire</w:t>
      </w:r>
      <w:r w:rsidR="00E46ACC" w:rsidRPr="00366BF3">
        <w:rPr>
          <w:color w:val="000000" w:themeColor="text1"/>
        </w:rPr>
        <w:t xml:space="preserve"> (par exemple le développement d’expériences de mutualisation verticale et </w:t>
      </w:r>
      <w:r w:rsidR="00E46ACC" w:rsidRPr="00366BF3">
        <w:rPr>
          <w:color w:val="000000" w:themeColor="text1"/>
        </w:rPr>
        <w:lastRenderedPageBreak/>
        <w:t xml:space="preserve">horizontale) tout en sollicitant des PSL susceptibles de proposer des réponses adaptées et novatrices en termes de coûts, de délais et de qualité dans un environnement logistique fortement contraignant (Senkel et </w:t>
      </w:r>
      <w:r w:rsidR="00AF5116">
        <w:rPr>
          <w:i/>
          <w:color w:val="000000" w:themeColor="text1"/>
        </w:rPr>
        <w:t>al.</w:t>
      </w:r>
      <w:r w:rsidR="00E46ACC" w:rsidRPr="00366BF3">
        <w:rPr>
          <w:color w:val="000000" w:themeColor="text1"/>
        </w:rPr>
        <w:t>, 2013)</w:t>
      </w:r>
      <w:r w:rsidR="00896565" w:rsidRPr="00366BF3">
        <w:rPr>
          <w:color w:val="000000" w:themeColor="text1"/>
        </w:rPr>
        <w:t xml:space="preserve">. </w:t>
      </w:r>
    </w:p>
    <w:p w:rsidR="003D7962" w:rsidRPr="00366BF3" w:rsidRDefault="00C74A2A" w:rsidP="00281482">
      <w:pPr>
        <w:pStyle w:val="Paragraphedeliste"/>
        <w:tabs>
          <w:tab w:val="left" w:pos="284"/>
        </w:tabs>
        <w:spacing w:before="80" w:after="80" w:line="480" w:lineRule="auto"/>
        <w:ind w:left="0"/>
        <w:contextualSpacing w:val="0"/>
        <w:jc w:val="both"/>
        <w:rPr>
          <w:color w:val="000000" w:themeColor="text1"/>
          <w:szCs w:val="24"/>
        </w:rPr>
      </w:pPr>
      <w:r w:rsidRPr="00366BF3">
        <w:rPr>
          <w:color w:val="000000" w:themeColor="text1"/>
        </w:rPr>
        <w:t xml:space="preserve">Par conséquent, </w:t>
      </w:r>
      <w:r w:rsidR="00CA79DD" w:rsidRPr="00366BF3">
        <w:rPr>
          <w:color w:val="000000" w:themeColor="text1"/>
        </w:rPr>
        <w:t xml:space="preserve">au regard de </w:t>
      </w:r>
      <w:r w:rsidR="0008713A" w:rsidRPr="00366BF3">
        <w:rPr>
          <w:color w:val="000000" w:themeColor="text1"/>
        </w:rPr>
        <w:t>la double guerre des prix menée par les GMS sur le fond de rayon mais aussi sur les promo</w:t>
      </w:r>
      <w:r w:rsidR="00FE5638" w:rsidRPr="00366BF3">
        <w:rPr>
          <w:color w:val="000000" w:themeColor="text1"/>
        </w:rPr>
        <w:t>tion</w:t>
      </w:r>
      <w:r w:rsidR="0008713A" w:rsidRPr="00366BF3">
        <w:rPr>
          <w:color w:val="000000" w:themeColor="text1"/>
        </w:rPr>
        <w:t>s</w:t>
      </w:r>
      <w:r w:rsidR="00CA79DD" w:rsidRPr="00366BF3">
        <w:rPr>
          <w:color w:val="000000" w:themeColor="text1"/>
        </w:rPr>
        <w:t xml:space="preserve">, </w:t>
      </w:r>
      <w:r w:rsidRPr="00366BF3">
        <w:rPr>
          <w:color w:val="000000" w:themeColor="text1"/>
        </w:rPr>
        <w:t xml:space="preserve">cette </w:t>
      </w:r>
      <w:r w:rsidR="00CA79DD" w:rsidRPr="00366BF3">
        <w:rPr>
          <w:color w:val="000000" w:themeColor="text1"/>
        </w:rPr>
        <w:t>recherche</w:t>
      </w:r>
      <w:r w:rsidRPr="00366BF3">
        <w:rPr>
          <w:color w:val="000000" w:themeColor="text1"/>
        </w:rPr>
        <w:t xml:space="preserve"> </w:t>
      </w:r>
      <w:r w:rsidR="00CA79DD" w:rsidRPr="00366BF3">
        <w:rPr>
          <w:color w:val="000000" w:themeColor="text1"/>
        </w:rPr>
        <w:t xml:space="preserve">de </w:t>
      </w:r>
      <w:r w:rsidRPr="00366BF3">
        <w:rPr>
          <w:color w:val="000000" w:themeColor="text1"/>
        </w:rPr>
        <w:t>valeur ajoutée implique de clarifier le rôle que les industriels entendent faire dorénavant jouer à leurs PSL</w:t>
      </w:r>
      <w:r w:rsidR="00CA79DD" w:rsidRPr="00366BF3">
        <w:rPr>
          <w:color w:val="000000" w:themeColor="text1"/>
        </w:rPr>
        <w:t xml:space="preserve"> au regard du poids pris par </w:t>
      </w:r>
      <w:r w:rsidR="00C5062E" w:rsidRPr="00366BF3">
        <w:rPr>
          <w:color w:val="000000" w:themeColor="text1"/>
        </w:rPr>
        <w:t>ces derniers</w:t>
      </w:r>
      <w:r w:rsidR="00CA79DD" w:rsidRPr="00366BF3">
        <w:rPr>
          <w:color w:val="000000" w:themeColor="text1"/>
        </w:rPr>
        <w:t xml:space="preserve"> dans le partage de cette valeur ajoutée</w:t>
      </w:r>
      <w:r w:rsidR="003D7962" w:rsidRPr="00366BF3">
        <w:rPr>
          <w:color w:val="000000" w:themeColor="text1"/>
        </w:rPr>
        <w:t xml:space="preserve"> (</w:t>
      </w:r>
      <w:r w:rsidR="004023BC" w:rsidRPr="00366BF3">
        <w:rPr>
          <w:rStyle w:val="st"/>
          <w:color w:val="000000" w:themeColor="text1"/>
          <w:szCs w:val="24"/>
        </w:rPr>
        <w:t xml:space="preserve">Filser et </w:t>
      </w:r>
      <w:r w:rsidR="00AF5116">
        <w:rPr>
          <w:rStyle w:val="st"/>
          <w:i/>
          <w:color w:val="000000" w:themeColor="text1"/>
          <w:szCs w:val="24"/>
        </w:rPr>
        <w:t>al.</w:t>
      </w:r>
      <w:r w:rsidR="00581141" w:rsidRPr="00366BF3">
        <w:rPr>
          <w:rStyle w:val="st"/>
          <w:color w:val="000000" w:themeColor="text1"/>
          <w:szCs w:val="24"/>
        </w:rPr>
        <w:t>, 2012</w:t>
      </w:r>
      <w:r w:rsidR="003D7962" w:rsidRPr="00366BF3">
        <w:rPr>
          <w:color w:val="000000" w:themeColor="text1"/>
        </w:rPr>
        <w:t>)</w:t>
      </w:r>
      <w:r w:rsidR="003D7962" w:rsidRPr="00366BF3">
        <w:rPr>
          <w:rStyle w:val="st"/>
          <w:color w:val="000000" w:themeColor="text1"/>
          <w:szCs w:val="24"/>
        </w:rPr>
        <w:t>.</w:t>
      </w:r>
      <w:r w:rsidR="004534EB" w:rsidRPr="00366BF3">
        <w:rPr>
          <w:rStyle w:val="st"/>
          <w:color w:val="000000" w:themeColor="text1"/>
          <w:szCs w:val="24"/>
        </w:rPr>
        <w:t xml:space="preserve"> </w:t>
      </w:r>
      <w:r w:rsidR="00F352C6" w:rsidRPr="00366BF3">
        <w:rPr>
          <w:rStyle w:val="st"/>
          <w:color w:val="000000" w:themeColor="text1"/>
          <w:szCs w:val="24"/>
        </w:rPr>
        <w:t>Pour clarifier ce rôle</w:t>
      </w:r>
      <w:r w:rsidR="00227E52" w:rsidRPr="00366BF3">
        <w:rPr>
          <w:rStyle w:val="st"/>
          <w:color w:val="000000" w:themeColor="text1"/>
          <w:szCs w:val="24"/>
        </w:rPr>
        <w:t>, depuis 2010</w:t>
      </w:r>
      <w:r w:rsidR="000D6F43" w:rsidRPr="00366BF3">
        <w:rPr>
          <w:rStyle w:val="st"/>
          <w:color w:val="000000" w:themeColor="text1"/>
          <w:szCs w:val="24"/>
        </w:rPr>
        <w:t>,</w:t>
      </w:r>
      <w:r w:rsidR="00227E52" w:rsidRPr="00366BF3">
        <w:rPr>
          <w:rStyle w:val="st"/>
          <w:color w:val="000000" w:themeColor="text1"/>
          <w:szCs w:val="24"/>
        </w:rPr>
        <w:t xml:space="preserve"> nous menons une étude longitudinale dans le but de déterminer la qualité de service perçue par l’industriel</w:t>
      </w:r>
      <w:r w:rsidR="000D6F43" w:rsidRPr="00366BF3">
        <w:rPr>
          <w:rStyle w:val="st"/>
          <w:color w:val="000000" w:themeColor="text1"/>
          <w:szCs w:val="24"/>
        </w:rPr>
        <w:t xml:space="preserve"> et de </w:t>
      </w:r>
      <w:r w:rsidR="003C54B3" w:rsidRPr="00366BF3">
        <w:rPr>
          <w:rStyle w:val="st"/>
          <w:color w:val="000000" w:themeColor="text1"/>
          <w:szCs w:val="24"/>
        </w:rPr>
        <w:t>caractériser les stratégies susceptibles d’être mise en œuvre par le PSL</w:t>
      </w:r>
      <w:r w:rsidR="005E2B8D">
        <w:rPr>
          <w:rStyle w:val="st"/>
          <w:color w:val="000000" w:themeColor="text1"/>
          <w:szCs w:val="24"/>
        </w:rPr>
        <w:t xml:space="preserve"> (Mevel et Morvan, 2010, 2014 et 201</w:t>
      </w:r>
      <w:r w:rsidR="00956D9C">
        <w:rPr>
          <w:rStyle w:val="st"/>
          <w:color w:val="000000" w:themeColor="text1"/>
          <w:szCs w:val="24"/>
        </w:rPr>
        <w:t>7</w:t>
      </w:r>
      <w:r w:rsidR="005E2B8D">
        <w:rPr>
          <w:rStyle w:val="st"/>
          <w:color w:val="000000" w:themeColor="text1"/>
          <w:szCs w:val="24"/>
        </w:rPr>
        <w:t>)</w:t>
      </w:r>
      <w:r w:rsidR="003C54B3" w:rsidRPr="00366BF3">
        <w:rPr>
          <w:rStyle w:val="st"/>
          <w:color w:val="000000" w:themeColor="text1"/>
          <w:szCs w:val="24"/>
        </w:rPr>
        <w:t>.</w:t>
      </w:r>
      <w:r w:rsidR="00CC4A9F" w:rsidRPr="00366BF3">
        <w:rPr>
          <w:rStyle w:val="st"/>
          <w:color w:val="000000" w:themeColor="text1"/>
          <w:szCs w:val="24"/>
        </w:rPr>
        <w:t xml:space="preserve"> </w:t>
      </w:r>
      <w:r w:rsidR="001E74E1" w:rsidRPr="00366BF3">
        <w:rPr>
          <w:bCs/>
          <w:color w:val="000000" w:themeColor="text1"/>
          <w:szCs w:val="24"/>
        </w:rPr>
        <w:t>Il apparait que la</w:t>
      </w:r>
      <w:r w:rsidR="00187EE0" w:rsidRPr="00366BF3">
        <w:rPr>
          <w:color w:val="000000" w:themeColor="text1"/>
        </w:rPr>
        <w:t xml:space="preserve"> </w:t>
      </w:r>
      <w:r w:rsidR="002E3693" w:rsidRPr="00366BF3">
        <w:rPr>
          <w:color w:val="000000" w:themeColor="text1"/>
        </w:rPr>
        <w:t>question d</w:t>
      </w:r>
      <w:r w:rsidR="00187EE0" w:rsidRPr="00366BF3">
        <w:rPr>
          <w:color w:val="000000" w:themeColor="text1"/>
        </w:rPr>
        <w:t xml:space="preserve">e </w:t>
      </w:r>
      <w:r w:rsidR="00B9624F" w:rsidRPr="00366BF3">
        <w:rPr>
          <w:color w:val="000000" w:themeColor="text1"/>
        </w:rPr>
        <w:t>la justesse</w:t>
      </w:r>
      <w:r w:rsidR="00187EE0" w:rsidRPr="00366BF3">
        <w:rPr>
          <w:color w:val="000000" w:themeColor="text1"/>
        </w:rPr>
        <w:t xml:space="preserve"> des</w:t>
      </w:r>
      <w:r w:rsidR="002E3693" w:rsidRPr="00366BF3">
        <w:rPr>
          <w:color w:val="000000" w:themeColor="text1"/>
        </w:rPr>
        <w:t xml:space="preserve"> </w:t>
      </w:r>
      <w:r w:rsidR="004534EB" w:rsidRPr="00366BF3">
        <w:rPr>
          <w:color w:val="000000" w:themeColor="text1"/>
        </w:rPr>
        <w:t>solutions logistiques</w:t>
      </w:r>
      <w:r w:rsidR="002E3693" w:rsidRPr="00366BF3">
        <w:rPr>
          <w:color w:val="000000" w:themeColor="text1"/>
        </w:rPr>
        <w:t xml:space="preserve"> </w:t>
      </w:r>
      <w:r w:rsidR="00187EE0" w:rsidRPr="00366BF3">
        <w:rPr>
          <w:color w:val="000000" w:themeColor="text1"/>
        </w:rPr>
        <w:t xml:space="preserve">jusqu’ici développées par les PSL </w:t>
      </w:r>
      <w:r w:rsidR="001E74E1" w:rsidRPr="00366BF3">
        <w:rPr>
          <w:color w:val="000000" w:themeColor="text1"/>
        </w:rPr>
        <w:t>devient primordial</w:t>
      </w:r>
      <w:r w:rsidR="00AE1A37">
        <w:rPr>
          <w:color w:val="000000" w:themeColor="text1"/>
        </w:rPr>
        <w:t>e</w:t>
      </w:r>
      <w:r w:rsidR="001E74E1" w:rsidRPr="00366BF3">
        <w:rPr>
          <w:color w:val="000000" w:themeColor="text1"/>
        </w:rPr>
        <w:t xml:space="preserve"> </w:t>
      </w:r>
      <w:r w:rsidR="00187EE0" w:rsidRPr="00366BF3">
        <w:rPr>
          <w:color w:val="000000" w:themeColor="text1"/>
        </w:rPr>
        <w:t>sachant que les enquêtes démontrent toutes l</w:t>
      </w:r>
      <w:r w:rsidR="002E3693" w:rsidRPr="00366BF3">
        <w:rPr>
          <w:color w:val="000000" w:themeColor="text1"/>
        </w:rPr>
        <w:t xml:space="preserve">es difficultés </w:t>
      </w:r>
      <w:r w:rsidR="00187EE0" w:rsidRPr="00366BF3">
        <w:rPr>
          <w:color w:val="000000" w:themeColor="text1"/>
        </w:rPr>
        <w:t xml:space="preserve">des PSL </w:t>
      </w:r>
      <w:r w:rsidR="002E3693" w:rsidRPr="00366BF3">
        <w:rPr>
          <w:color w:val="000000" w:themeColor="text1"/>
        </w:rPr>
        <w:t>à s’adapter aux demandes spécifiques de</w:t>
      </w:r>
      <w:r w:rsidR="00187EE0" w:rsidRPr="00366BF3">
        <w:rPr>
          <w:color w:val="000000" w:themeColor="text1"/>
        </w:rPr>
        <w:t xml:space="preserve"> leurs</w:t>
      </w:r>
      <w:r w:rsidR="002E3693" w:rsidRPr="00366BF3">
        <w:rPr>
          <w:color w:val="000000" w:themeColor="text1"/>
        </w:rPr>
        <w:t xml:space="preserve"> clients.</w:t>
      </w:r>
    </w:p>
    <w:p w:rsidR="00FA588D" w:rsidRPr="00366BF3" w:rsidRDefault="007271FF" w:rsidP="00281482">
      <w:pPr>
        <w:spacing w:line="480" w:lineRule="auto"/>
        <w:jc w:val="both"/>
        <w:rPr>
          <w:color w:val="000000" w:themeColor="text1"/>
        </w:rPr>
      </w:pPr>
      <w:r w:rsidRPr="00366BF3">
        <w:rPr>
          <w:color w:val="000000" w:themeColor="text1"/>
        </w:rPr>
        <w:t>D</w:t>
      </w:r>
      <w:r w:rsidR="00C74A2A" w:rsidRPr="00366BF3">
        <w:rPr>
          <w:color w:val="000000" w:themeColor="text1"/>
        </w:rPr>
        <w:t>ans ce contexte</w:t>
      </w:r>
      <w:r w:rsidRPr="00366BF3">
        <w:rPr>
          <w:color w:val="000000" w:themeColor="text1"/>
        </w:rPr>
        <w:t>,</w:t>
      </w:r>
      <w:r w:rsidR="00C74A2A" w:rsidRPr="00366BF3">
        <w:rPr>
          <w:color w:val="000000" w:themeColor="text1"/>
        </w:rPr>
        <w:t xml:space="preserve"> la question de recherche a pour objet de déterminer si les PSL sont devenus une simple variable d’ajustement ou une </w:t>
      </w:r>
      <w:r w:rsidR="009C5BCA" w:rsidRPr="00366BF3">
        <w:rPr>
          <w:color w:val="000000" w:themeColor="text1"/>
        </w:rPr>
        <w:t xml:space="preserve">véritable </w:t>
      </w:r>
      <w:r w:rsidR="00C74A2A" w:rsidRPr="00366BF3">
        <w:rPr>
          <w:color w:val="000000" w:themeColor="text1"/>
        </w:rPr>
        <w:t>partie prenante à l’équilibre des relations Industrie/Commerce.</w:t>
      </w:r>
      <w:r w:rsidR="00581DC7" w:rsidRPr="00366BF3">
        <w:rPr>
          <w:color w:val="000000" w:themeColor="text1"/>
        </w:rPr>
        <w:t xml:space="preserve"> </w:t>
      </w:r>
      <w:r w:rsidR="00FA588D" w:rsidRPr="00366BF3">
        <w:rPr>
          <w:color w:val="000000" w:themeColor="text1"/>
        </w:rPr>
        <w:t xml:space="preserve">Par variable d’ajustement, nous entendons désigner ici le fait que les industriels seraient plus sensibles à un service standard garantissant des phénomènes d’échelle et donc offrant des faibles coûts unitaires de transport et/ou de gestion des stocks. Dans ce cas précis, le rôle du PSL serait essentiellement centré autour de l’exécution opérationnelle, il est donc considéré comme un « outil » au sein de la chaine logistique (Fabbe-Costes et </w:t>
      </w:r>
      <w:r w:rsidR="00AF5116">
        <w:rPr>
          <w:i/>
          <w:color w:val="000000" w:themeColor="text1"/>
        </w:rPr>
        <w:t>al.</w:t>
      </w:r>
      <w:r w:rsidR="00FA588D" w:rsidRPr="00366BF3">
        <w:rPr>
          <w:color w:val="000000" w:themeColor="text1"/>
        </w:rPr>
        <w:t>, 2008)</w:t>
      </w:r>
      <w:r w:rsidR="00FF6DB5" w:rsidRPr="00366BF3">
        <w:rPr>
          <w:color w:val="000000" w:themeColor="text1"/>
        </w:rPr>
        <w:t>.</w:t>
      </w:r>
      <w:r w:rsidR="00FA588D" w:rsidRPr="00366BF3">
        <w:rPr>
          <w:color w:val="000000" w:themeColor="text1"/>
        </w:rPr>
        <w:t xml:space="preserve"> Par contre, un PSL partie prenante à la relation industrie/commerce signifie que l’industriel rechercherait, un PSL proposant des services plus sophistiqués</w:t>
      </w:r>
      <w:r w:rsidR="00FF6DB5" w:rsidRPr="00366BF3">
        <w:rPr>
          <w:color w:val="000000" w:themeColor="text1"/>
        </w:rPr>
        <w:t>,</w:t>
      </w:r>
      <w:r w:rsidR="00FA588D" w:rsidRPr="00366BF3">
        <w:rPr>
          <w:color w:val="000000" w:themeColor="text1"/>
        </w:rPr>
        <w:t xml:space="preserve"> co-construits</w:t>
      </w:r>
      <w:r w:rsidR="00FF6DB5" w:rsidRPr="00366BF3">
        <w:rPr>
          <w:color w:val="000000" w:themeColor="text1"/>
        </w:rPr>
        <w:t>,</w:t>
      </w:r>
      <w:r w:rsidR="00FA588D" w:rsidRPr="00366BF3">
        <w:rPr>
          <w:color w:val="000000" w:themeColor="text1"/>
        </w:rPr>
        <w:t xml:space="preserve"> et fondés sur un apprentissage relationnel construit expérience après expérience, un PSL dont le métier comprend </w:t>
      </w:r>
      <w:r w:rsidR="00FF6DB5" w:rsidRPr="00366BF3">
        <w:rPr>
          <w:color w:val="000000" w:themeColor="text1"/>
        </w:rPr>
        <w:t xml:space="preserve">non seulement des compétences de techniques logistiques mais surtout </w:t>
      </w:r>
      <w:r w:rsidR="00FA588D" w:rsidRPr="00366BF3">
        <w:rPr>
          <w:color w:val="000000" w:themeColor="text1"/>
        </w:rPr>
        <w:t xml:space="preserve">des compétences relationnelles, des compétences en pilotage de flux tout en étant capable de </w:t>
      </w:r>
      <w:r w:rsidR="00FA588D" w:rsidRPr="00366BF3">
        <w:rPr>
          <w:color w:val="000000" w:themeColor="text1"/>
        </w:rPr>
        <w:lastRenderedPageBreak/>
        <w:t>concevoir des solutions intégrées. Le PSL</w:t>
      </w:r>
      <w:r w:rsidR="000D6F43" w:rsidRPr="00366BF3">
        <w:rPr>
          <w:color w:val="000000" w:themeColor="text1"/>
        </w:rPr>
        <w:t xml:space="preserve">, </w:t>
      </w:r>
      <w:r w:rsidR="00FA588D" w:rsidRPr="00366BF3">
        <w:rPr>
          <w:color w:val="000000" w:themeColor="text1"/>
        </w:rPr>
        <w:t xml:space="preserve">en </w:t>
      </w:r>
      <w:r w:rsidR="001E74E1" w:rsidRPr="00366BF3">
        <w:rPr>
          <w:color w:val="000000" w:themeColor="text1"/>
        </w:rPr>
        <w:t>tant que</w:t>
      </w:r>
      <w:r w:rsidR="00FA588D" w:rsidRPr="00366BF3">
        <w:rPr>
          <w:color w:val="000000" w:themeColor="text1"/>
        </w:rPr>
        <w:t xml:space="preserve"> « Broker » de réseau</w:t>
      </w:r>
      <w:r w:rsidR="000D6F43" w:rsidRPr="00366BF3">
        <w:rPr>
          <w:color w:val="000000" w:themeColor="text1"/>
        </w:rPr>
        <w:t>, devient</w:t>
      </w:r>
      <w:r w:rsidR="00FA588D" w:rsidRPr="00366BF3">
        <w:rPr>
          <w:color w:val="000000" w:themeColor="text1"/>
        </w:rPr>
        <w:t xml:space="preserve"> un facilitateur par sa capacité à accompagner la stratégie des acteurs de la chaine logistique, un coordinateur par ses compétences en termes de systèmes d’information et de capacités à construire des réseaux communs à plusieurs clients voire un architecte par son expertise à initier et à construire un réseau de sous-traitants logistiques pour un</w:t>
      </w:r>
      <w:r w:rsidR="000C5F53" w:rsidRPr="00366BF3">
        <w:rPr>
          <w:color w:val="000000" w:themeColor="text1"/>
        </w:rPr>
        <w:t>e</w:t>
      </w:r>
      <w:r w:rsidR="00FA588D" w:rsidRPr="00366BF3">
        <w:rPr>
          <w:color w:val="000000" w:themeColor="text1"/>
        </w:rPr>
        <w:t xml:space="preserve"> demande </w:t>
      </w:r>
      <w:r w:rsidR="000C5F53" w:rsidRPr="00366BF3">
        <w:rPr>
          <w:color w:val="000000" w:themeColor="text1"/>
        </w:rPr>
        <w:t>spécifique</w:t>
      </w:r>
      <w:r w:rsidR="000F5D8B">
        <w:rPr>
          <w:color w:val="000000" w:themeColor="text1"/>
        </w:rPr>
        <w:t xml:space="preserve"> (</w:t>
      </w:r>
      <w:r w:rsidR="00FA588D" w:rsidRPr="00366BF3">
        <w:rPr>
          <w:color w:val="000000" w:themeColor="text1"/>
        </w:rPr>
        <w:t xml:space="preserve">Fulconis et </w:t>
      </w:r>
      <w:r w:rsidR="00AF5116">
        <w:rPr>
          <w:i/>
          <w:color w:val="000000" w:themeColor="text1"/>
        </w:rPr>
        <w:t>al.</w:t>
      </w:r>
      <w:r w:rsidR="00FA588D" w:rsidRPr="00366BF3">
        <w:rPr>
          <w:color w:val="000000" w:themeColor="text1"/>
        </w:rPr>
        <w:t xml:space="preserve">, 2017; Fabbe-Costes et </w:t>
      </w:r>
      <w:r w:rsidR="00AF5116">
        <w:rPr>
          <w:i/>
          <w:color w:val="000000" w:themeColor="text1"/>
        </w:rPr>
        <w:t>al.</w:t>
      </w:r>
      <w:r w:rsidR="00FA588D" w:rsidRPr="00366BF3">
        <w:rPr>
          <w:color w:val="000000" w:themeColor="text1"/>
        </w:rPr>
        <w:t xml:space="preserve">, 2008). </w:t>
      </w:r>
    </w:p>
    <w:p w:rsidR="00FF6DB5" w:rsidRPr="00366BF3" w:rsidRDefault="001E74E1" w:rsidP="00281482">
      <w:pPr>
        <w:spacing w:line="480" w:lineRule="auto"/>
        <w:jc w:val="both"/>
        <w:rPr>
          <w:color w:val="000000" w:themeColor="text1"/>
        </w:rPr>
      </w:pPr>
      <w:r w:rsidRPr="00366BF3">
        <w:rPr>
          <w:color w:val="000000" w:themeColor="text1"/>
        </w:rPr>
        <w:t>N</w:t>
      </w:r>
      <w:r w:rsidR="00C74A2A" w:rsidRPr="00366BF3">
        <w:rPr>
          <w:color w:val="000000" w:themeColor="text1"/>
        </w:rPr>
        <w:t>ous avons analys</w:t>
      </w:r>
      <w:r w:rsidR="00C92F09" w:rsidRPr="00366BF3">
        <w:rPr>
          <w:color w:val="000000" w:themeColor="text1"/>
        </w:rPr>
        <w:t>é</w:t>
      </w:r>
      <w:r w:rsidR="00C74A2A" w:rsidRPr="00366BF3">
        <w:rPr>
          <w:color w:val="000000" w:themeColor="text1"/>
        </w:rPr>
        <w:t xml:space="preserve"> l’opinion des industriels relativement à la qualité de service perçue </w:t>
      </w:r>
      <w:r w:rsidR="002F3B3E" w:rsidRPr="00366BF3">
        <w:rPr>
          <w:color w:val="000000" w:themeColor="text1"/>
        </w:rPr>
        <w:t xml:space="preserve">afin de déterminer si les industriels souhaitent </w:t>
      </w:r>
      <w:r w:rsidR="00581DC7" w:rsidRPr="00366BF3">
        <w:rPr>
          <w:color w:val="000000" w:themeColor="text1"/>
        </w:rPr>
        <w:t>privilégier soit</w:t>
      </w:r>
      <w:r w:rsidR="002F3B3E" w:rsidRPr="00366BF3">
        <w:rPr>
          <w:color w:val="000000" w:themeColor="text1"/>
        </w:rPr>
        <w:t xml:space="preserve"> </w:t>
      </w:r>
      <w:r w:rsidR="00530A00" w:rsidRPr="00366BF3">
        <w:rPr>
          <w:color w:val="000000" w:themeColor="text1"/>
        </w:rPr>
        <w:t>des solutions logistiques</w:t>
      </w:r>
      <w:r w:rsidR="002F3B3E" w:rsidRPr="00366BF3">
        <w:rPr>
          <w:color w:val="000000" w:themeColor="text1"/>
        </w:rPr>
        <w:t xml:space="preserve"> leur permettant de diminuer</w:t>
      </w:r>
      <w:r w:rsidR="00581DC7" w:rsidRPr="00366BF3">
        <w:rPr>
          <w:color w:val="000000" w:themeColor="text1"/>
        </w:rPr>
        <w:t xml:space="preserve"> leur coût logistique en faisant jouer au PSL un simple rôle d’ajustement tarifaire, soit une </w:t>
      </w:r>
      <w:r w:rsidR="00530A00" w:rsidRPr="00366BF3">
        <w:rPr>
          <w:color w:val="000000" w:themeColor="text1"/>
        </w:rPr>
        <w:t>solution logistique</w:t>
      </w:r>
      <w:r w:rsidR="00581DC7" w:rsidRPr="00366BF3">
        <w:rPr>
          <w:color w:val="000000" w:themeColor="text1"/>
        </w:rPr>
        <w:t xml:space="preserve"> plus personnalisée impliquant le développement d’une relation de service plus pérenne</w:t>
      </w:r>
      <w:r w:rsidR="00864F60" w:rsidRPr="00366BF3">
        <w:rPr>
          <w:color w:val="000000" w:themeColor="text1"/>
        </w:rPr>
        <w:t xml:space="preserve"> entre les deux acteurs</w:t>
      </w:r>
      <w:r w:rsidR="00FF6DB5" w:rsidRPr="00366BF3">
        <w:rPr>
          <w:color w:val="000000" w:themeColor="text1"/>
        </w:rPr>
        <w:t>. L</w:t>
      </w:r>
      <w:r w:rsidR="00342A1B" w:rsidRPr="00366BF3">
        <w:rPr>
          <w:color w:val="000000" w:themeColor="text1"/>
        </w:rPr>
        <w:t>e PSL devient alors partie prenante à une relation plus collaborative</w:t>
      </w:r>
      <w:r w:rsidR="00864F60" w:rsidRPr="00366BF3">
        <w:rPr>
          <w:color w:val="000000" w:themeColor="text1"/>
        </w:rPr>
        <w:t>.</w:t>
      </w:r>
      <w:r w:rsidR="005E07BC" w:rsidRPr="00366BF3">
        <w:rPr>
          <w:color w:val="000000" w:themeColor="text1"/>
        </w:rPr>
        <w:t xml:space="preserve"> </w:t>
      </w:r>
    </w:p>
    <w:p w:rsidR="00C74A2A" w:rsidRPr="00366BF3" w:rsidRDefault="00FE5638" w:rsidP="00281482">
      <w:pPr>
        <w:spacing w:line="480" w:lineRule="auto"/>
        <w:jc w:val="both"/>
        <w:rPr>
          <w:color w:val="000000" w:themeColor="text1"/>
        </w:rPr>
      </w:pPr>
      <w:r w:rsidRPr="00366BF3">
        <w:rPr>
          <w:color w:val="000000" w:themeColor="text1"/>
        </w:rPr>
        <w:t>Pour compléter notre travail d’investigation, n</w:t>
      </w:r>
      <w:r w:rsidR="00C74A2A" w:rsidRPr="00366BF3">
        <w:rPr>
          <w:color w:val="000000" w:themeColor="text1"/>
        </w:rPr>
        <w:t>ous avons aussi voulu analyser l’opinion des PSL en recueillant</w:t>
      </w:r>
      <w:r w:rsidR="00187EE0" w:rsidRPr="00366BF3">
        <w:rPr>
          <w:color w:val="000000" w:themeColor="text1"/>
        </w:rPr>
        <w:t>, notamment,</w:t>
      </w:r>
      <w:r w:rsidR="00C74A2A" w:rsidRPr="00366BF3">
        <w:rPr>
          <w:color w:val="000000" w:themeColor="text1"/>
        </w:rPr>
        <w:t xml:space="preserve"> leur perception de la qualité de service et en étudiant les relations qu’ils entretiennent avec leurs clients.</w:t>
      </w:r>
    </w:p>
    <w:p w:rsidR="00A85F0B" w:rsidRPr="00366BF3" w:rsidRDefault="00B941BB" w:rsidP="00281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480" w:lineRule="auto"/>
        <w:jc w:val="both"/>
        <w:rPr>
          <w:color w:val="000000" w:themeColor="text1"/>
          <w:szCs w:val="24"/>
        </w:rPr>
      </w:pPr>
      <w:r w:rsidRPr="00366BF3">
        <w:rPr>
          <w:color w:val="000000" w:themeColor="text1"/>
          <w:szCs w:val="24"/>
        </w:rPr>
        <w:t xml:space="preserve">Pour </w:t>
      </w:r>
      <w:r w:rsidR="00DD5FF0" w:rsidRPr="00366BF3">
        <w:rPr>
          <w:color w:val="000000" w:themeColor="text1"/>
          <w:szCs w:val="24"/>
        </w:rPr>
        <w:t>répondre à</w:t>
      </w:r>
      <w:r w:rsidR="000C5F53" w:rsidRPr="00366BF3">
        <w:rPr>
          <w:color w:val="000000" w:themeColor="text1"/>
          <w:szCs w:val="24"/>
        </w:rPr>
        <w:t xml:space="preserve"> notre problématique</w:t>
      </w:r>
      <w:r w:rsidR="000D6F43" w:rsidRPr="00366BF3">
        <w:rPr>
          <w:color w:val="000000" w:themeColor="text1"/>
          <w:szCs w:val="24"/>
        </w:rPr>
        <w:t>,</w:t>
      </w:r>
      <w:r w:rsidR="000C5F53" w:rsidRPr="00366BF3">
        <w:rPr>
          <w:color w:val="000000" w:themeColor="text1"/>
          <w:szCs w:val="24"/>
        </w:rPr>
        <w:t xml:space="preserve"> dans un</w:t>
      </w:r>
      <w:r w:rsidRPr="00366BF3">
        <w:rPr>
          <w:color w:val="000000" w:themeColor="text1"/>
          <w:szCs w:val="24"/>
        </w:rPr>
        <w:t xml:space="preserve"> premier développement (1)</w:t>
      </w:r>
      <w:r w:rsidR="000D6F43" w:rsidRPr="00366BF3">
        <w:rPr>
          <w:color w:val="000000" w:themeColor="text1"/>
          <w:szCs w:val="24"/>
        </w:rPr>
        <w:t>,</w:t>
      </w:r>
      <w:r w:rsidRPr="00366BF3">
        <w:rPr>
          <w:color w:val="000000" w:themeColor="text1"/>
          <w:szCs w:val="24"/>
        </w:rPr>
        <w:t xml:space="preserve"> nous analysons la situation des relations entre les acteurs du canal de distribution et les résultats des </w:t>
      </w:r>
      <w:r w:rsidR="00AE1A37">
        <w:rPr>
          <w:color w:val="000000" w:themeColor="text1"/>
          <w:szCs w:val="24"/>
        </w:rPr>
        <w:t>E</w:t>
      </w:r>
      <w:r w:rsidRPr="00366BF3">
        <w:rPr>
          <w:color w:val="000000" w:themeColor="text1"/>
          <w:szCs w:val="24"/>
        </w:rPr>
        <w:t xml:space="preserve">tats </w:t>
      </w:r>
      <w:r w:rsidR="00AE1A37">
        <w:rPr>
          <w:color w:val="000000" w:themeColor="text1"/>
          <w:szCs w:val="24"/>
        </w:rPr>
        <w:t>G</w:t>
      </w:r>
      <w:r w:rsidRPr="00366BF3">
        <w:rPr>
          <w:color w:val="000000" w:themeColor="text1"/>
          <w:szCs w:val="24"/>
        </w:rPr>
        <w:t>énéraux de l’</w:t>
      </w:r>
      <w:r w:rsidR="00AE1A37">
        <w:rPr>
          <w:color w:val="000000" w:themeColor="text1"/>
          <w:szCs w:val="24"/>
        </w:rPr>
        <w:t>A</w:t>
      </w:r>
      <w:r w:rsidRPr="00366BF3">
        <w:rPr>
          <w:color w:val="000000" w:themeColor="text1"/>
          <w:szCs w:val="24"/>
        </w:rPr>
        <w:t>limentation (1.1) pour ensuite faire le point sur le rôle du PSL au sein de ce canal</w:t>
      </w:r>
      <w:r w:rsidR="00011518" w:rsidRPr="00366BF3">
        <w:rPr>
          <w:color w:val="000000" w:themeColor="text1"/>
          <w:szCs w:val="24"/>
        </w:rPr>
        <w:t xml:space="preserve"> (1.2)</w:t>
      </w:r>
      <w:r w:rsidRPr="00366BF3">
        <w:rPr>
          <w:color w:val="000000" w:themeColor="text1"/>
          <w:szCs w:val="24"/>
        </w:rPr>
        <w:t xml:space="preserve"> en mobilisant la théorie des services pour construire</w:t>
      </w:r>
      <w:r w:rsidR="00AE1A37">
        <w:rPr>
          <w:color w:val="000000" w:themeColor="text1"/>
          <w:szCs w:val="24"/>
        </w:rPr>
        <w:t xml:space="preserve"> un cadre d’analyse susceptible</w:t>
      </w:r>
      <w:r w:rsidRPr="00366BF3">
        <w:rPr>
          <w:color w:val="000000" w:themeColor="text1"/>
          <w:szCs w:val="24"/>
        </w:rPr>
        <w:t xml:space="preserve"> de déterminer les stratégies envisageables par le PSL (1.</w:t>
      </w:r>
      <w:r w:rsidR="00011518" w:rsidRPr="00366BF3">
        <w:rPr>
          <w:color w:val="000000" w:themeColor="text1"/>
          <w:szCs w:val="24"/>
        </w:rPr>
        <w:t>3</w:t>
      </w:r>
      <w:r w:rsidRPr="00366BF3">
        <w:rPr>
          <w:color w:val="000000" w:themeColor="text1"/>
          <w:szCs w:val="24"/>
        </w:rPr>
        <w:t xml:space="preserve">). Dans un second </w:t>
      </w:r>
      <w:r w:rsidR="00DD5FF0" w:rsidRPr="00366BF3">
        <w:rPr>
          <w:color w:val="000000" w:themeColor="text1"/>
          <w:szCs w:val="24"/>
        </w:rPr>
        <w:t>développement (2)</w:t>
      </w:r>
      <w:r w:rsidRPr="00366BF3">
        <w:rPr>
          <w:color w:val="000000" w:themeColor="text1"/>
          <w:szCs w:val="24"/>
        </w:rPr>
        <w:t xml:space="preserve">, </w:t>
      </w:r>
      <w:r w:rsidR="00DD5FF0" w:rsidRPr="00366BF3">
        <w:rPr>
          <w:color w:val="000000" w:themeColor="text1"/>
          <w:szCs w:val="24"/>
        </w:rPr>
        <w:t>nous avons souhaité mener une enquête empirique auprès d’un échantillon représentatif d’industriels des différentes filières des industries agroalimentaires du Grand ouest. Les aspects méthodologiques seront présentés en premier lieu (2.1) avant de discuter des principaux résultats liés à l’étude empirique (2.2) et d’analyser les implications managériales (2.3).</w:t>
      </w:r>
    </w:p>
    <w:p w:rsidR="00DD5FF0" w:rsidRPr="00366BF3" w:rsidRDefault="00DD5FF0" w:rsidP="00281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480" w:lineRule="auto"/>
        <w:jc w:val="both"/>
        <w:rPr>
          <w:color w:val="000000" w:themeColor="text1"/>
          <w:szCs w:val="24"/>
        </w:rPr>
      </w:pPr>
    </w:p>
    <w:p w:rsidR="00427F05" w:rsidRPr="00366BF3" w:rsidRDefault="00A42064" w:rsidP="00281482">
      <w:pPr>
        <w:pStyle w:val="Paragraphedeliste"/>
        <w:numPr>
          <w:ilvl w:val="0"/>
          <w:numId w:val="1"/>
        </w:numPr>
        <w:spacing w:line="480" w:lineRule="auto"/>
        <w:ind w:left="426"/>
        <w:jc w:val="both"/>
        <w:rPr>
          <w:b/>
          <w:color w:val="000000" w:themeColor="text1"/>
        </w:rPr>
      </w:pPr>
      <w:r w:rsidRPr="00366BF3">
        <w:rPr>
          <w:b/>
          <w:color w:val="000000" w:themeColor="text1"/>
        </w:rPr>
        <w:lastRenderedPageBreak/>
        <w:t>Etat des lieux de la situation de la relation entre les différents acteurs du canal de distribution dans les filières alimentaires : industries agro-alimentaires-presta</w:t>
      </w:r>
      <w:r w:rsidR="005E07BC" w:rsidRPr="00366BF3">
        <w:rPr>
          <w:b/>
          <w:color w:val="000000" w:themeColor="text1"/>
        </w:rPr>
        <w:t>taires de services industriels-</w:t>
      </w:r>
      <w:r w:rsidRPr="00366BF3">
        <w:rPr>
          <w:b/>
          <w:color w:val="000000" w:themeColor="text1"/>
        </w:rPr>
        <w:t>centrales d’achat de la grande distribution française</w:t>
      </w:r>
    </w:p>
    <w:p w:rsidR="00011518" w:rsidRPr="00366BF3" w:rsidRDefault="00011518" w:rsidP="00281482">
      <w:pPr>
        <w:spacing w:line="480" w:lineRule="auto"/>
        <w:jc w:val="both"/>
        <w:rPr>
          <w:color w:val="000000" w:themeColor="text1"/>
        </w:rPr>
      </w:pPr>
      <w:r w:rsidRPr="00366BF3">
        <w:rPr>
          <w:color w:val="000000" w:themeColor="text1"/>
        </w:rPr>
        <w:t>Dans un premier temps, nous étudierons les raisons qui ont amené le président Macron, à peine élu, à appeler à la tenue des Etats Généraux de l’Alimentation afin de définir un nouvel équilibre en termes de loyauté dans les relations commerciales et les conséquences pour le PSL (1.1) puis dans un second temps nous analyserons les conséquences de l’émergence et du développement du PSL comme nouvel acteur au sein du canal de distribution (1.2). Enfin dans un dernier temps il s’agira d’analyser le positionnement serviciel du PSL au regard des exigences du donneur d’ordre (1.3).</w:t>
      </w:r>
    </w:p>
    <w:p w:rsidR="00A85F0B" w:rsidRPr="00366BF3" w:rsidRDefault="00A85F0B" w:rsidP="00281482">
      <w:pPr>
        <w:pStyle w:val="Paragraphedeliste"/>
        <w:numPr>
          <w:ilvl w:val="1"/>
          <w:numId w:val="2"/>
        </w:numPr>
        <w:spacing w:line="480" w:lineRule="auto"/>
        <w:ind w:left="426" w:hanging="425"/>
        <w:jc w:val="both"/>
        <w:rPr>
          <w:b/>
          <w:color w:val="000000" w:themeColor="text1"/>
        </w:rPr>
      </w:pPr>
      <w:r w:rsidRPr="00366BF3">
        <w:rPr>
          <w:b/>
          <w:color w:val="000000" w:themeColor="text1"/>
        </w:rPr>
        <w:t>Les états généraux de l’alimentation prescrivent une révision exhaustive des relations production-industrie-</w:t>
      </w:r>
      <w:r w:rsidR="004645C8" w:rsidRPr="00366BF3">
        <w:rPr>
          <w:b/>
          <w:color w:val="000000" w:themeColor="text1"/>
        </w:rPr>
        <w:t>PSL</w:t>
      </w:r>
      <w:r w:rsidRPr="00366BF3">
        <w:rPr>
          <w:b/>
          <w:color w:val="000000" w:themeColor="text1"/>
        </w:rPr>
        <w:t>-commerce</w:t>
      </w:r>
    </w:p>
    <w:p w:rsidR="00A85F0B" w:rsidRPr="00366BF3" w:rsidRDefault="00A85F0B" w:rsidP="00281482">
      <w:pPr>
        <w:spacing w:line="480" w:lineRule="auto"/>
        <w:jc w:val="both"/>
        <w:rPr>
          <w:color w:val="000000" w:themeColor="text1"/>
        </w:rPr>
      </w:pPr>
      <w:r w:rsidRPr="00366BF3">
        <w:rPr>
          <w:color w:val="000000" w:themeColor="text1"/>
        </w:rPr>
        <w:t>Depuis 50 ans, l’Etat français a toujours eu la préoccupation de la gestion des prix dans le canal de la distribution alimentaire</w:t>
      </w:r>
      <w:r w:rsidR="00C92F09" w:rsidRPr="00366BF3">
        <w:rPr>
          <w:color w:val="000000" w:themeColor="text1"/>
        </w:rPr>
        <w:t xml:space="preserve"> mais </w:t>
      </w:r>
      <w:r w:rsidRPr="00366BF3">
        <w:rPr>
          <w:color w:val="000000" w:themeColor="text1"/>
        </w:rPr>
        <w:t>le développement fulgurant du parc de magasins des enseignes de grande distribution est tel que</w:t>
      </w:r>
      <w:r w:rsidR="00C92F09" w:rsidRPr="00366BF3">
        <w:rPr>
          <w:color w:val="000000" w:themeColor="text1"/>
        </w:rPr>
        <w:t>, dès 1973,</w:t>
      </w:r>
      <w:r w:rsidRPr="00366BF3">
        <w:rPr>
          <w:color w:val="000000" w:themeColor="text1"/>
        </w:rPr>
        <w:t xml:space="preserve"> le législateur estime qu’il doit intervenir contre les Grandes et Moyennes Surfaces (GMS) afin de se doter des moyens de lutter contre son développement anarchique partout en France.</w:t>
      </w:r>
    </w:p>
    <w:p w:rsidR="00A85F0B" w:rsidRPr="00366BF3" w:rsidRDefault="00A85F0B" w:rsidP="00281482">
      <w:pPr>
        <w:spacing w:line="480" w:lineRule="auto"/>
        <w:jc w:val="both"/>
        <w:rPr>
          <w:color w:val="000000" w:themeColor="text1"/>
        </w:rPr>
      </w:pPr>
      <w:r w:rsidRPr="00366BF3">
        <w:rPr>
          <w:color w:val="000000" w:themeColor="text1"/>
        </w:rPr>
        <w:t xml:space="preserve">Ainsi, la loi Royer de 1973 </w:t>
      </w:r>
      <w:r w:rsidR="00C92F09" w:rsidRPr="00366BF3">
        <w:rPr>
          <w:color w:val="000000" w:themeColor="text1"/>
        </w:rPr>
        <w:t xml:space="preserve">vient </w:t>
      </w:r>
      <w:r w:rsidRPr="00366BF3">
        <w:rPr>
          <w:color w:val="000000" w:themeColor="text1"/>
        </w:rPr>
        <w:t>encadre</w:t>
      </w:r>
      <w:r w:rsidR="00C92F09" w:rsidRPr="00366BF3">
        <w:rPr>
          <w:color w:val="000000" w:themeColor="text1"/>
        </w:rPr>
        <w:t>r</w:t>
      </w:r>
      <w:r w:rsidRPr="00366BF3">
        <w:rPr>
          <w:color w:val="000000" w:themeColor="text1"/>
        </w:rPr>
        <w:t xml:space="preserve"> l'urbanisme commercial dans le but de sauver le petit commerce en limitant la croissance des grandes surfaces. Toutefois, l'ambition première de la loi Royer de limiter l'influence de la grande distribution sur le paysage péri-urbain, tout en protégeant les petits commerçants, a échoué puisque les commissions administratives d’élus locaux ont quasi-systématiquement favorisé l'implantation des grandes surfaces. La loi Raffarin</w:t>
      </w:r>
      <w:r w:rsidR="00C92F09" w:rsidRPr="00366BF3">
        <w:rPr>
          <w:color w:val="000000" w:themeColor="text1"/>
        </w:rPr>
        <w:t xml:space="preserve"> </w:t>
      </w:r>
      <w:r w:rsidRPr="00366BF3">
        <w:rPr>
          <w:color w:val="000000" w:themeColor="text1"/>
        </w:rPr>
        <w:t xml:space="preserve">de 1996 viendra renforcer la loi Royer, en abaissant à 300 m² le seuil de la surface au-delà duquel une autorisation administrative d’implantation de surfaces commerciales est nécessaire. </w:t>
      </w:r>
      <w:r w:rsidR="00C92F09" w:rsidRPr="00366BF3">
        <w:rPr>
          <w:color w:val="000000" w:themeColor="text1"/>
        </w:rPr>
        <w:t xml:space="preserve">Cependant, </w:t>
      </w:r>
      <w:r w:rsidRPr="00366BF3">
        <w:rPr>
          <w:color w:val="000000" w:themeColor="text1"/>
        </w:rPr>
        <w:t xml:space="preserve">les lois Royer, Raffarin, LME et Alur n’ont absolument pas stoppé le </w:t>
      </w:r>
      <w:r w:rsidRPr="00366BF3">
        <w:rPr>
          <w:color w:val="000000" w:themeColor="text1"/>
        </w:rPr>
        <w:lastRenderedPageBreak/>
        <w:t>développement des surfaces commerciales qui, paradoxalement, ont même accéléré le déploiement de leurs outils commerciaux depuis 2002</w:t>
      </w:r>
      <w:r w:rsidR="00C92F09" w:rsidRPr="00366BF3">
        <w:rPr>
          <w:color w:val="000000" w:themeColor="text1"/>
        </w:rPr>
        <w:t xml:space="preserve"> (</w:t>
      </w:r>
      <w:r w:rsidR="00C92F09" w:rsidRPr="00366BF3">
        <w:rPr>
          <w:i/>
          <w:color w:val="000000" w:themeColor="text1"/>
        </w:rPr>
        <w:t>cf</w:t>
      </w:r>
      <w:r w:rsidR="00C92F09" w:rsidRPr="00366BF3">
        <w:rPr>
          <w:color w:val="000000" w:themeColor="text1"/>
        </w:rPr>
        <w:t xml:space="preserve">. figure 1). </w:t>
      </w:r>
    </w:p>
    <w:p w:rsidR="00A874D8" w:rsidRDefault="00A874D8" w:rsidP="007E1D5A">
      <w:pPr>
        <w:jc w:val="right"/>
        <w:rPr>
          <w:b/>
          <w:color w:val="000000" w:themeColor="text1"/>
          <w:szCs w:val="24"/>
        </w:rPr>
      </w:pPr>
      <w:r w:rsidRPr="00BA7ABE">
        <w:rPr>
          <w:noProof/>
          <w:color w:val="000000" w:themeColor="text1"/>
        </w:rPr>
        <w:drawing>
          <wp:inline distT="0" distB="0" distL="0" distR="0" wp14:anchorId="2E1DC0F4" wp14:editId="46802157">
            <wp:extent cx="5758815" cy="32785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8815" cy="3278505"/>
                    </a:xfrm>
                    <a:prstGeom prst="rect">
                      <a:avLst/>
                    </a:prstGeom>
                    <a:noFill/>
                    <a:ln>
                      <a:noFill/>
                    </a:ln>
                  </pic:spPr>
                </pic:pic>
              </a:graphicData>
            </a:graphic>
          </wp:inline>
        </w:drawing>
      </w:r>
      <w:r w:rsidR="007E1D5A" w:rsidRPr="007E1D5A">
        <w:rPr>
          <w:color w:val="000000" w:themeColor="text1"/>
          <w:sz w:val="18"/>
          <w:szCs w:val="18"/>
        </w:rPr>
        <w:t xml:space="preserve"> </w:t>
      </w:r>
      <w:r w:rsidR="007E1D5A" w:rsidRPr="00BA7ABE">
        <w:rPr>
          <w:color w:val="000000" w:themeColor="text1"/>
          <w:sz w:val="18"/>
          <w:szCs w:val="18"/>
        </w:rPr>
        <w:t>Source : Adaptation Olivier MEVEL</w:t>
      </w:r>
    </w:p>
    <w:p w:rsidR="007E1D5A" w:rsidRDefault="007E1D5A" w:rsidP="007E1D5A">
      <w:pPr>
        <w:spacing w:line="480" w:lineRule="auto"/>
        <w:jc w:val="center"/>
        <w:rPr>
          <w:b/>
          <w:color w:val="000000" w:themeColor="text1"/>
          <w:szCs w:val="24"/>
        </w:rPr>
      </w:pPr>
      <w:r w:rsidRPr="00F13BD3">
        <w:rPr>
          <w:b/>
          <w:color w:val="000000" w:themeColor="text1"/>
          <w:szCs w:val="24"/>
        </w:rPr>
        <w:t>Figure 1 : Evolution du nombre des hypermarchés, supermarchés, hard-discount et drive en France depuis 2002 (Sources : DGCCRF et DDPP)</w:t>
      </w:r>
    </w:p>
    <w:p w:rsidR="007E1D5A" w:rsidRPr="00F13BD3" w:rsidRDefault="007E1D5A" w:rsidP="00281482">
      <w:pPr>
        <w:spacing w:line="480" w:lineRule="auto"/>
        <w:jc w:val="center"/>
        <w:rPr>
          <w:b/>
          <w:color w:val="000000" w:themeColor="text1"/>
          <w:szCs w:val="24"/>
        </w:rPr>
      </w:pPr>
    </w:p>
    <w:p w:rsidR="00146F90" w:rsidRPr="00366BF3" w:rsidRDefault="00A85F0B" w:rsidP="00281482">
      <w:pPr>
        <w:spacing w:line="480" w:lineRule="auto"/>
        <w:jc w:val="both"/>
        <w:rPr>
          <w:color w:val="000000" w:themeColor="text1"/>
        </w:rPr>
      </w:pPr>
      <w:r w:rsidRPr="00366BF3">
        <w:rPr>
          <w:color w:val="000000" w:themeColor="text1"/>
        </w:rPr>
        <w:t>Face à la montée inexorable des parts de marché de la grande distribution alimentaire dans le commerce de détail, l’Etat estime qu’il n’a d’autres choix que de mobiliser toujours plus fréquemment l’arme législative pour tenter d’influer sur le renversement de paradigme qu’impose le distributeur. La loi Galland</w:t>
      </w:r>
      <w:r w:rsidR="00454CC3" w:rsidRPr="00366BF3">
        <w:rPr>
          <w:color w:val="000000" w:themeColor="text1"/>
        </w:rPr>
        <w:t xml:space="preserve"> (</w:t>
      </w:r>
      <w:r w:rsidRPr="00366BF3">
        <w:rPr>
          <w:color w:val="000000" w:themeColor="text1"/>
        </w:rPr>
        <w:t>1996</w:t>
      </w:r>
      <w:r w:rsidR="00454CC3" w:rsidRPr="00366BF3">
        <w:rPr>
          <w:color w:val="000000" w:themeColor="text1"/>
        </w:rPr>
        <w:t>)</w:t>
      </w:r>
      <w:r w:rsidRPr="00366BF3">
        <w:rPr>
          <w:color w:val="000000" w:themeColor="text1"/>
        </w:rPr>
        <w:t xml:space="preserve"> est votée dans le but de règlementer les relations entre la grande distribution et ses fournisseurs.</w:t>
      </w:r>
    </w:p>
    <w:p w:rsidR="00371C5F" w:rsidRPr="00366BF3" w:rsidRDefault="00A85F0B" w:rsidP="00281482">
      <w:pPr>
        <w:spacing w:line="480" w:lineRule="auto"/>
        <w:jc w:val="both"/>
        <w:rPr>
          <w:color w:val="000000" w:themeColor="text1"/>
        </w:rPr>
      </w:pPr>
      <w:r w:rsidRPr="00366BF3">
        <w:rPr>
          <w:color w:val="000000" w:themeColor="text1"/>
        </w:rPr>
        <w:t xml:space="preserve">Son objectif avoué était de protéger le petit commerce et les industriels en interdisant aux grandes surfaces de répercuter dans les prix de vente aux consommateurs la totalité des remises, ristournes et autres rémunérations de prestations de coopérations commerciales que les GMS recevaient de leurs fournisseurs. Alors que la montée en puissance et la concentration des enseignes de grandes surfaces alimentaires déséquilibraient les rapports commerciaux au détriment des fournisseurs, la loi Galland a introduit la notion de « prix abusivement bas » et </w:t>
      </w:r>
      <w:r w:rsidRPr="00366BF3">
        <w:rPr>
          <w:color w:val="000000" w:themeColor="text1"/>
        </w:rPr>
        <w:lastRenderedPageBreak/>
        <w:t>elle redéfinit le calcul du Seuil de Vente à Perte (SRP) en distinguant entre marge avant, répercutable sur le prix de vente, et marge arrière, non répercutable. La loi Galland ne permettra pas au canal de distribution d’atteindre un équilibre en termes de partage de la valeur ajoutée entre les différentes parties prenantes d’autant plus que l’émergence d’un nouvel acteur dans le canal, les PSL, vient considérablement dégrader la situation des industriels et des producteurs. Rapidement, la loi Galland est critiquée face à la vague de hausse des prix des produits de marques qu’elle génère</w:t>
      </w:r>
      <w:r w:rsidR="00371C5F" w:rsidRPr="00366BF3">
        <w:rPr>
          <w:color w:val="000000" w:themeColor="text1"/>
        </w:rPr>
        <w:t>.</w:t>
      </w:r>
    </w:p>
    <w:p w:rsidR="00A85F0B" w:rsidRPr="00366BF3" w:rsidRDefault="00A85F0B" w:rsidP="00281482">
      <w:pPr>
        <w:spacing w:line="480" w:lineRule="auto"/>
        <w:jc w:val="both"/>
        <w:rPr>
          <w:color w:val="000000" w:themeColor="text1"/>
        </w:rPr>
      </w:pPr>
      <w:r w:rsidRPr="00366BF3">
        <w:rPr>
          <w:color w:val="000000" w:themeColor="text1"/>
        </w:rPr>
        <w:t xml:space="preserve">Pour autant, à une loi inflationniste succède la LME qui s’avère être, </w:t>
      </w:r>
      <w:r w:rsidRPr="00366BF3">
        <w:rPr>
          <w:i/>
          <w:color w:val="000000" w:themeColor="text1"/>
        </w:rPr>
        <w:t>a contrario</w:t>
      </w:r>
      <w:r w:rsidRPr="00366BF3">
        <w:rPr>
          <w:color w:val="000000" w:themeColor="text1"/>
        </w:rPr>
        <w:t>, une loi profondément déflationniste depuis 2008. En effet, en redonnant au distributeur la capacité de renégocier les Conditions Générales de Vente (CGV) des industriels, la LME accorde fatalement, par le maintien du seuil de revente à perte, une prime de marché totalement démesurée au d</w:t>
      </w:r>
      <w:r w:rsidR="00AC7A89">
        <w:rPr>
          <w:color w:val="000000" w:themeColor="text1"/>
        </w:rPr>
        <w:t xml:space="preserve">istributeur, </w:t>
      </w:r>
      <w:r w:rsidRPr="00366BF3">
        <w:rPr>
          <w:color w:val="000000" w:themeColor="text1"/>
        </w:rPr>
        <w:t xml:space="preserve">vainqueur des négociations commerciales (Allain et </w:t>
      </w:r>
      <w:r w:rsidR="00AF5116">
        <w:rPr>
          <w:i/>
          <w:color w:val="000000" w:themeColor="text1"/>
        </w:rPr>
        <w:t>al.</w:t>
      </w:r>
      <w:r w:rsidRPr="00366BF3">
        <w:rPr>
          <w:color w:val="000000" w:themeColor="text1"/>
        </w:rPr>
        <w:t>, 2016 ; Biscourp, 2014). En ce sens, la LME porte en elle, les germes d’une forme de violence commerciale qui s’applique lors des négociations commerciales. Entre 2008 et 2018 en France, les conséquences liées à l’application de la LME rendent compte d’une intense guerre des prix qui décime les filières alimentaires (Moati</w:t>
      </w:r>
      <w:r w:rsidR="000C5F53" w:rsidRPr="00366BF3">
        <w:rPr>
          <w:color w:val="000000" w:themeColor="text1"/>
        </w:rPr>
        <w:t>,</w:t>
      </w:r>
      <w:r w:rsidR="00AC7A89">
        <w:rPr>
          <w:color w:val="000000" w:themeColor="text1"/>
        </w:rPr>
        <w:t xml:space="preserve"> 2016</w:t>
      </w:r>
      <w:r w:rsidRPr="00366BF3">
        <w:rPr>
          <w:color w:val="000000" w:themeColor="text1"/>
        </w:rPr>
        <w:t>) tout en concentrant à l’extrême les centrales d’achat des enseignes de la grande distribution (GMS). Ainsi, primé par la LME, un seul distributeur sort vainqueur de 10 ans d’application de la loi, le groupe Leclerc (</w:t>
      </w:r>
      <w:r w:rsidRPr="00366BF3">
        <w:rPr>
          <w:i/>
          <w:color w:val="000000" w:themeColor="text1"/>
        </w:rPr>
        <w:t>cf</w:t>
      </w:r>
      <w:r w:rsidRPr="00366BF3">
        <w:rPr>
          <w:color w:val="000000" w:themeColor="text1"/>
        </w:rPr>
        <w:t>. figure 2), ce qui amène les autres enseignes à signer des accords de coopération à l’achat fin 2014</w:t>
      </w:r>
      <w:r w:rsidR="00371C5F" w:rsidRPr="00366BF3">
        <w:rPr>
          <w:color w:val="000000" w:themeColor="text1"/>
        </w:rPr>
        <w:t xml:space="preserve"> et courant 2018</w:t>
      </w:r>
      <w:r w:rsidRPr="00366BF3">
        <w:rPr>
          <w:color w:val="000000" w:themeColor="text1"/>
        </w:rPr>
        <w:t xml:space="preserve"> afin de tenter d’inverser l’image prix dont bénéficie le distributeur breton vis-à-vis des consommateurs.</w:t>
      </w:r>
    </w:p>
    <w:p w:rsidR="006E1548" w:rsidRDefault="006E1548">
      <w:pPr>
        <w:spacing w:after="160" w:line="259" w:lineRule="auto"/>
        <w:rPr>
          <w:b/>
          <w:color w:val="000000" w:themeColor="text1"/>
          <w:szCs w:val="24"/>
        </w:rPr>
      </w:pPr>
      <w:r>
        <w:rPr>
          <w:b/>
          <w:color w:val="000000" w:themeColor="text1"/>
          <w:szCs w:val="24"/>
        </w:rPr>
        <w:br w:type="page"/>
      </w:r>
    </w:p>
    <w:p w:rsidR="000B1315" w:rsidRDefault="00A85F0B" w:rsidP="000B1315">
      <w:pPr>
        <w:spacing w:line="480" w:lineRule="auto"/>
        <w:jc w:val="center"/>
        <w:rPr>
          <w:b/>
          <w:color w:val="000000" w:themeColor="text1"/>
          <w:szCs w:val="24"/>
        </w:rPr>
      </w:pPr>
      <w:r w:rsidRPr="00366BF3">
        <w:rPr>
          <w:noProof/>
          <w:color w:val="000000" w:themeColor="text1"/>
        </w:rPr>
        <w:lastRenderedPageBreak/>
        <mc:AlternateContent>
          <mc:Choice Requires="wps">
            <w:drawing>
              <wp:anchor distT="0" distB="0" distL="114300" distR="114300" simplePos="0" relativeHeight="251663360" behindDoc="0" locked="0" layoutInCell="1" allowOverlap="1" wp14:anchorId="60D4EDCB" wp14:editId="63B36E3E">
                <wp:simplePos x="0" y="0"/>
                <wp:positionH relativeFrom="margin">
                  <wp:align>center</wp:align>
                </wp:positionH>
                <wp:positionV relativeFrom="paragraph">
                  <wp:posOffset>3049256</wp:posOffset>
                </wp:positionV>
                <wp:extent cx="418290" cy="79132"/>
                <wp:effectExtent l="0" t="0" r="20320" b="16510"/>
                <wp:wrapNone/>
                <wp:docPr id="4" name="Rectangle 4"/>
                <wp:cNvGraphicFramePr/>
                <a:graphic xmlns:a="http://schemas.openxmlformats.org/drawingml/2006/main">
                  <a:graphicData uri="http://schemas.microsoft.com/office/word/2010/wordprocessingShape">
                    <wps:wsp>
                      <wps:cNvSpPr/>
                      <wps:spPr>
                        <a:xfrm>
                          <a:off x="0" y="0"/>
                          <a:ext cx="418290" cy="7913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646620" id="Rectangle 4" o:spid="_x0000_s1026" style="position:absolute;margin-left:0;margin-top:240.1pt;width:32.95pt;height:6.2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" fillcolor="white [3212]" strokecolor="white [3212]" strokeweight="1pt">
                <w10:wrap anchorx="margin"/>
              </v:rect>
            </w:pict>
          </mc:Fallback>
        </mc:AlternateContent>
      </w:r>
      <w:r w:rsidR="000B1315" w:rsidRPr="000B1315">
        <w:rPr>
          <w:noProof/>
        </w:rPr>
        <w:drawing>
          <wp:inline distT="0" distB="0" distL="0" distR="0">
            <wp:extent cx="5760720" cy="272769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2727693"/>
                    </a:xfrm>
                    <a:prstGeom prst="rect">
                      <a:avLst/>
                    </a:prstGeom>
                    <a:noFill/>
                    <a:ln>
                      <a:noFill/>
                    </a:ln>
                  </pic:spPr>
                </pic:pic>
              </a:graphicData>
            </a:graphic>
          </wp:inline>
        </w:drawing>
      </w:r>
    </w:p>
    <w:p w:rsidR="007E1D5A" w:rsidRDefault="007E1D5A" w:rsidP="000B1315">
      <w:pPr>
        <w:spacing w:line="480" w:lineRule="auto"/>
        <w:jc w:val="center"/>
        <w:rPr>
          <w:color w:val="000000" w:themeColor="text1"/>
        </w:rPr>
      </w:pPr>
      <w:r w:rsidRPr="00F13BD3">
        <w:rPr>
          <w:b/>
          <w:color w:val="000000" w:themeColor="text1"/>
          <w:szCs w:val="24"/>
        </w:rPr>
        <w:t>Figure 2 : Evolution des parts de marché des GSA, accords de coopération à l’achat et limites de la LME</w:t>
      </w:r>
    </w:p>
    <w:p w:rsidR="00A85F0B" w:rsidRPr="00366BF3" w:rsidRDefault="00A85F0B" w:rsidP="00281482">
      <w:pPr>
        <w:spacing w:line="480" w:lineRule="auto"/>
        <w:jc w:val="both"/>
        <w:rPr>
          <w:color w:val="000000" w:themeColor="text1"/>
        </w:rPr>
      </w:pPr>
      <w:r w:rsidRPr="00366BF3">
        <w:rPr>
          <w:color w:val="000000" w:themeColor="text1"/>
        </w:rPr>
        <w:t>En facilitant la prolifération des promotions et la guerre des prix sur les produits de grandes marques, la LME a contribué à faire perdre de la rationalité à l’acte d’achat d’un consommateur qui ne comprend plus rien aux prix affichés en linéaires. Les relations Production-Industrie-PSL-Commerce sont désormais placées, à la fois, sous la contrainte de l’avènement aujourd’hui planétaire des distributeurs low-cost (Mevel, 2011 et 2010 ; Lichtenstein 2009</w:t>
      </w:r>
      <w:r w:rsidR="00B32052" w:rsidRPr="00366BF3">
        <w:rPr>
          <w:color w:val="000000" w:themeColor="text1"/>
        </w:rPr>
        <w:t>).</w:t>
      </w:r>
      <w:r w:rsidRPr="00366BF3">
        <w:rPr>
          <w:color w:val="000000" w:themeColor="text1"/>
        </w:rPr>
        <w:t xml:space="preserve"> A cette contrainte s’ajoute la généralisation de politiques d’externalisation de la fonction logistique auprès de grands intégrateurs qui vont, dès lors, lourdement peser sur la formation des prix de la prestation de services logistiques.</w:t>
      </w:r>
    </w:p>
    <w:p w:rsidR="00A85F0B" w:rsidRPr="00366BF3" w:rsidRDefault="00A85F0B" w:rsidP="00281482">
      <w:pPr>
        <w:spacing w:line="480" w:lineRule="auto"/>
        <w:jc w:val="both"/>
        <w:rPr>
          <w:b/>
          <w:color w:val="000000" w:themeColor="text1"/>
        </w:rPr>
      </w:pPr>
    </w:p>
    <w:p w:rsidR="00A85F0B" w:rsidRPr="00366BF3" w:rsidRDefault="00011518" w:rsidP="00281482">
      <w:pPr>
        <w:spacing w:line="480" w:lineRule="auto"/>
        <w:jc w:val="both"/>
        <w:rPr>
          <w:color w:val="000000" w:themeColor="text1"/>
        </w:rPr>
      </w:pPr>
      <w:r w:rsidRPr="00366BF3">
        <w:rPr>
          <w:color w:val="000000" w:themeColor="text1"/>
        </w:rPr>
        <w:t>Par conséquent, f</w:t>
      </w:r>
      <w:r w:rsidR="00A85F0B" w:rsidRPr="00366BF3">
        <w:rPr>
          <w:color w:val="000000" w:themeColor="text1"/>
        </w:rPr>
        <w:t xml:space="preserve">ace à la seule logique du rapport de forces qui prévaut à l’application de la LME, le Président Macron </w:t>
      </w:r>
      <w:r w:rsidR="00371C5F" w:rsidRPr="00366BF3">
        <w:rPr>
          <w:color w:val="000000" w:themeColor="text1"/>
        </w:rPr>
        <w:t xml:space="preserve">convoque </w:t>
      </w:r>
      <w:r w:rsidR="00A85F0B" w:rsidRPr="00366BF3">
        <w:rPr>
          <w:color w:val="000000" w:themeColor="text1"/>
        </w:rPr>
        <w:t>la tenue d’Etat Généraux de l’Alimentation (EGAlim) entre juillet et décembre 2017. Il est à noter que les prestataires de services logistiques ne sont pas invités à partager les travaux des trois autres parties prenantes alors même que les coûts logistiques ne cessent de grimper au sein des chaines de valeur alimentaires (</w:t>
      </w:r>
      <w:r w:rsidR="00A85F0B" w:rsidRPr="00366BF3">
        <w:rPr>
          <w:i/>
          <w:color w:val="000000" w:themeColor="text1"/>
        </w:rPr>
        <w:t>cf.</w:t>
      </w:r>
      <w:r w:rsidR="00A85F0B" w:rsidRPr="00366BF3">
        <w:rPr>
          <w:color w:val="000000" w:themeColor="text1"/>
        </w:rPr>
        <w:t xml:space="preserve"> figure 3). </w:t>
      </w:r>
      <w:r w:rsidR="00371C5F" w:rsidRPr="00366BF3">
        <w:rPr>
          <w:color w:val="000000" w:themeColor="text1"/>
        </w:rPr>
        <w:t>L</w:t>
      </w:r>
      <w:r w:rsidR="00A85F0B" w:rsidRPr="00366BF3">
        <w:rPr>
          <w:color w:val="000000" w:themeColor="text1"/>
        </w:rPr>
        <w:t xml:space="preserve">es EGAlim sont un chantier </w:t>
      </w:r>
      <w:r w:rsidR="00371C5F" w:rsidRPr="00366BF3">
        <w:rPr>
          <w:color w:val="000000" w:themeColor="text1"/>
        </w:rPr>
        <w:t>prospectif mené afin de</w:t>
      </w:r>
      <w:r w:rsidR="00A85F0B" w:rsidRPr="00366BF3">
        <w:rPr>
          <w:color w:val="000000" w:themeColor="text1"/>
        </w:rPr>
        <w:t xml:space="preserve"> relancer la création de valeur et </w:t>
      </w:r>
      <w:r w:rsidR="00371C5F" w:rsidRPr="00366BF3">
        <w:rPr>
          <w:color w:val="000000" w:themeColor="text1"/>
        </w:rPr>
        <w:t>d’</w:t>
      </w:r>
      <w:r w:rsidR="00A85F0B" w:rsidRPr="00366BF3">
        <w:rPr>
          <w:color w:val="000000" w:themeColor="text1"/>
        </w:rPr>
        <w:t xml:space="preserve">en assurer </w:t>
      </w:r>
      <w:r w:rsidR="00A85F0B" w:rsidRPr="00366BF3">
        <w:rPr>
          <w:color w:val="000000" w:themeColor="text1"/>
        </w:rPr>
        <w:lastRenderedPageBreak/>
        <w:t>l’équitable répartition</w:t>
      </w:r>
      <w:r w:rsidR="00371C5F" w:rsidRPr="00366BF3">
        <w:rPr>
          <w:color w:val="000000" w:themeColor="text1"/>
        </w:rPr>
        <w:t xml:space="preserve"> tout au long du canal de distribution alors même que l</w:t>
      </w:r>
      <w:r w:rsidR="00A85F0B" w:rsidRPr="00366BF3">
        <w:rPr>
          <w:color w:val="000000" w:themeColor="text1"/>
        </w:rPr>
        <w:t>es travaux de l’Observatoire des Prix et des Marges Alimentaires rend</w:t>
      </w:r>
      <w:r w:rsidR="00371C5F" w:rsidRPr="00366BF3">
        <w:rPr>
          <w:color w:val="000000" w:themeColor="text1"/>
        </w:rPr>
        <w:t xml:space="preserve">ent </w:t>
      </w:r>
      <w:r w:rsidR="00A85F0B" w:rsidRPr="00366BF3">
        <w:rPr>
          <w:color w:val="000000" w:themeColor="text1"/>
        </w:rPr>
        <w:t>compte que pour 100 euros d’achats de produits alimentaires 8,7% reviennent dorénavant aux transports et à la prestation de services logistiques (</w:t>
      </w:r>
      <w:r w:rsidR="00A85F0B" w:rsidRPr="00366BF3">
        <w:rPr>
          <w:i/>
          <w:color w:val="000000" w:themeColor="text1"/>
        </w:rPr>
        <w:t>cf.</w:t>
      </w:r>
      <w:r w:rsidR="00A85F0B" w:rsidRPr="00366BF3">
        <w:rPr>
          <w:color w:val="000000" w:themeColor="text1"/>
        </w:rPr>
        <w:t xml:space="preserve"> figure 3).</w:t>
      </w:r>
    </w:p>
    <w:p w:rsidR="006E1548" w:rsidRPr="00BA7ABE" w:rsidRDefault="00DC67A9" w:rsidP="00DC67A9">
      <w:pPr>
        <w:spacing w:line="360" w:lineRule="auto"/>
        <w:jc w:val="right"/>
        <w:rPr>
          <w:color w:val="000000" w:themeColor="text1"/>
          <w:sz w:val="18"/>
          <w:szCs w:val="18"/>
        </w:rPr>
      </w:pPr>
      <w:r w:rsidRPr="00DC67A9">
        <w:rPr>
          <w:noProof/>
        </w:rPr>
        <w:drawing>
          <wp:inline distT="0" distB="0" distL="0" distR="0">
            <wp:extent cx="5760720" cy="2464687"/>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2464687"/>
                    </a:xfrm>
                    <a:prstGeom prst="rect">
                      <a:avLst/>
                    </a:prstGeom>
                    <a:noFill/>
                    <a:ln>
                      <a:noFill/>
                    </a:ln>
                  </pic:spPr>
                </pic:pic>
              </a:graphicData>
            </a:graphic>
          </wp:inline>
        </w:drawing>
      </w:r>
      <w:r w:rsidR="006E1548" w:rsidRPr="00BA7ABE">
        <w:rPr>
          <w:color w:val="000000" w:themeColor="text1"/>
          <w:sz w:val="18"/>
          <w:szCs w:val="18"/>
        </w:rPr>
        <w:t>Sources : Olivier MEVEL et Observatoire de la Formation des Prix et des Marges (OFPM)</w:t>
      </w:r>
    </w:p>
    <w:p w:rsidR="006E1548" w:rsidRPr="00AF5116" w:rsidRDefault="000B1315" w:rsidP="00281482">
      <w:pPr>
        <w:spacing w:line="480" w:lineRule="auto"/>
        <w:jc w:val="center"/>
        <w:rPr>
          <w:b/>
          <w:color w:val="000000" w:themeColor="text1"/>
          <w:szCs w:val="24"/>
        </w:rPr>
      </w:pPr>
      <w:r w:rsidRPr="00AF5116">
        <w:rPr>
          <w:b/>
          <w:color w:val="000000" w:themeColor="text1"/>
          <w:szCs w:val="24"/>
        </w:rPr>
        <w:t xml:space="preserve">Figure 3 : Evolution de la part de la valeur ajoutée pour 100€ d’achats de produits alimentaires au détail en </w:t>
      </w:r>
      <w:r>
        <w:rPr>
          <w:b/>
          <w:color w:val="000000" w:themeColor="text1"/>
          <w:szCs w:val="24"/>
        </w:rPr>
        <w:t>France</w:t>
      </w:r>
    </w:p>
    <w:p w:rsidR="00A85F0B" w:rsidRPr="00366BF3" w:rsidRDefault="00A85F0B" w:rsidP="00281482">
      <w:pPr>
        <w:spacing w:line="480" w:lineRule="auto"/>
        <w:jc w:val="both"/>
        <w:rPr>
          <w:color w:val="000000" w:themeColor="text1"/>
        </w:rPr>
      </w:pPr>
      <w:r w:rsidRPr="00366BF3">
        <w:rPr>
          <w:color w:val="000000" w:themeColor="text1"/>
        </w:rPr>
        <w:t>Alors même que la part du PSL dans la valeur ajoutée ne cesse de monter depuis 2000, les débats au sein des Etats Généraux de l’Alimentation n’intègrent donc aucune réflexion sur le fait qu’il n’y a plus trois mais bien quatre acteurs à se partager la valeur ajoutée dans un contexte des prix puissamment déflationniste. Les propositions qui vont découler des EGAlim ne vont donc aucunement s’intéresser à la prestation de services logistiques alors même que les PSL interviennent de plus en plus en amont des chaines de valeur étant donné le succès des marques régionales et territoriales développées par les éleveurs et les producteurs faute d’être équitablement rémunérés par les industriels et les distributeurs. Reprenons ces propositions.</w:t>
      </w:r>
    </w:p>
    <w:p w:rsidR="00371C5F" w:rsidRPr="00366BF3" w:rsidRDefault="00A85F0B" w:rsidP="00281482">
      <w:pPr>
        <w:spacing w:line="480" w:lineRule="auto"/>
        <w:jc w:val="both"/>
        <w:rPr>
          <w:color w:val="000000" w:themeColor="text1"/>
        </w:rPr>
      </w:pPr>
      <w:r w:rsidRPr="00366BF3">
        <w:rPr>
          <w:bCs/>
          <w:color w:val="000000" w:themeColor="text1"/>
        </w:rPr>
        <w:t xml:space="preserve">Ainsi, le premier résultat des travaux menés par les EGAlim laisse à penser que le remède à la course vers les prix bas </w:t>
      </w:r>
      <w:r w:rsidRPr="00366BF3">
        <w:rPr>
          <w:color w:val="000000" w:themeColor="text1"/>
        </w:rPr>
        <w:t xml:space="preserve">serait la </w:t>
      </w:r>
      <w:r w:rsidRPr="00366BF3">
        <w:rPr>
          <w:b/>
          <w:bCs/>
          <w:color w:val="000000" w:themeColor="text1"/>
        </w:rPr>
        <w:t>contractualisation</w:t>
      </w:r>
      <w:r w:rsidRPr="00366BF3">
        <w:rPr>
          <w:color w:val="000000" w:themeColor="text1"/>
        </w:rPr>
        <w:t xml:space="preserve"> à partir d’</w:t>
      </w:r>
      <w:r w:rsidRPr="00366BF3">
        <w:rPr>
          <w:bCs/>
          <w:color w:val="000000" w:themeColor="text1"/>
        </w:rPr>
        <w:t>accords tripartites</w:t>
      </w:r>
      <w:r w:rsidRPr="00366BF3">
        <w:rPr>
          <w:color w:val="000000" w:themeColor="text1"/>
        </w:rPr>
        <w:t xml:space="preserve"> entre producteurs, industriels et distributeurs avec des prix et des volumes fixés préalablement entre les acteurs. Des </w:t>
      </w:r>
      <w:r w:rsidRPr="00366BF3">
        <w:rPr>
          <w:bCs/>
          <w:color w:val="000000" w:themeColor="text1"/>
        </w:rPr>
        <w:t xml:space="preserve">clauses de renégociation </w:t>
      </w:r>
      <w:r w:rsidRPr="00366BF3">
        <w:rPr>
          <w:color w:val="000000" w:themeColor="text1"/>
        </w:rPr>
        <w:t xml:space="preserve">pour prendre en compte les évolutions des coûts de </w:t>
      </w:r>
      <w:r w:rsidRPr="00366BF3">
        <w:rPr>
          <w:color w:val="000000" w:themeColor="text1"/>
        </w:rPr>
        <w:lastRenderedPageBreak/>
        <w:t xml:space="preserve">production et des cours du marché sont prévus afin d’encadrer et </w:t>
      </w:r>
      <w:r w:rsidRPr="00366BF3">
        <w:rPr>
          <w:bCs/>
          <w:color w:val="000000" w:themeColor="text1"/>
        </w:rPr>
        <w:t xml:space="preserve">sécuriser les relations commerciales </w:t>
      </w:r>
      <w:r w:rsidRPr="00366BF3">
        <w:rPr>
          <w:color w:val="000000" w:themeColor="text1"/>
        </w:rPr>
        <w:t xml:space="preserve">entre les producteurs, les industriels et les distributeurs. </w:t>
      </w:r>
    </w:p>
    <w:p w:rsidR="00A85F0B" w:rsidRPr="00366BF3" w:rsidRDefault="00A85F0B" w:rsidP="00281482">
      <w:pPr>
        <w:spacing w:line="480" w:lineRule="auto"/>
        <w:jc w:val="both"/>
        <w:rPr>
          <w:color w:val="000000" w:themeColor="text1"/>
        </w:rPr>
      </w:pPr>
      <w:r w:rsidRPr="00366BF3">
        <w:rPr>
          <w:color w:val="000000" w:themeColor="text1"/>
        </w:rPr>
        <w:t xml:space="preserve">Le </w:t>
      </w:r>
      <w:r w:rsidRPr="00366BF3">
        <w:rPr>
          <w:b/>
          <w:color w:val="000000" w:themeColor="text1"/>
        </w:rPr>
        <w:t>renversement de la construction des prix</w:t>
      </w:r>
      <w:r w:rsidRPr="00366BF3">
        <w:rPr>
          <w:color w:val="000000" w:themeColor="text1"/>
        </w:rPr>
        <w:t xml:space="preserve"> est une autre mesure phare des EGAlim afin d’augmenter le revenu des agriculteurs en partant des coûts de production et non plus des prix de ventes au consommateur final. Ainsi, l’agriculteur propose son prix de vente en fonction des coûts induits par sa production, puis les valeurs ajoutées et les marges des différents acteurs de la chaîne viendraient se superposer pour donner le prix final en rayon. Si cela suppose que les agriculteurs connaissent très exactement leurs coûts de production, cette mesure ne tient absolument pas compte des effets induits par l’inflation des coûts logistiques liés à une demande de personnalisation de la relation de services du PSL à destination des producteurs et des industriels.</w:t>
      </w:r>
    </w:p>
    <w:p w:rsidR="00A85F0B" w:rsidRPr="00366BF3" w:rsidRDefault="00A85F0B" w:rsidP="00281482">
      <w:pPr>
        <w:spacing w:line="480" w:lineRule="auto"/>
        <w:jc w:val="both"/>
        <w:rPr>
          <w:color w:val="000000" w:themeColor="text1"/>
        </w:rPr>
      </w:pPr>
      <w:r w:rsidRPr="00366BF3">
        <w:rPr>
          <w:color w:val="000000" w:themeColor="text1"/>
        </w:rPr>
        <w:t>Ensuite, la</w:t>
      </w:r>
      <w:r w:rsidR="003C61B3" w:rsidRPr="00366BF3">
        <w:rPr>
          <w:color w:val="000000" w:themeColor="text1"/>
        </w:rPr>
        <w:t xml:space="preserve"> </w:t>
      </w:r>
      <w:r w:rsidRPr="00366BF3">
        <w:rPr>
          <w:b/>
          <w:color w:val="000000" w:themeColor="text1"/>
        </w:rPr>
        <w:t>limitation des promotions</w:t>
      </w:r>
      <w:r w:rsidRPr="00366BF3">
        <w:rPr>
          <w:color w:val="000000" w:themeColor="text1"/>
        </w:rPr>
        <w:t xml:space="preserve"> à 34% du prix de vente d'origine du produit ainsi que la restriction du nombre de produits en promotion à 25% du volume </w:t>
      </w:r>
      <w:r w:rsidR="00C92F09" w:rsidRPr="00366BF3">
        <w:rPr>
          <w:color w:val="000000" w:themeColor="text1"/>
        </w:rPr>
        <w:t>annuel est</w:t>
      </w:r>
      <w:r w:rsidR="003C61B3" w:rsidRPr="00366BF3">
        <w:rPr>
          <w:color w:val="000000" w:themeColor="text1"/>
        </w:rPr>
        <w:t xml:space="preserve"> une mesure qui souh</w:t>
      </w:r>
      <w:r w:rsidR="00C92F09" w:rsidRPr="00366BF3">
        <w:rPr>
          <w:color w:val="000000" w:themeColor="text1"/>
        </w:rPr>
        <w:t>aite</w:t>
      </w:r>
      <w:r w:rsidR="003C61B3" w:rsidRPr="00366BF3">
        <w:rPr>
          <w:color w:val="000000" w:themeColor="text1"/>
        </w:rPr>
        <w:t xml:space="preserve"> </w:t>
      </w:r>
      <w:r w:rsidRPr="00366BF3">
        <w:rPr>
          <w:color w:val="000000" w:themeColor="text1"/>
        </w:rPr>
        <w:t>redonner sens à l’acte d’achat du consommateur face à une offre plus différenciée et plus qualitative.  Mais, cette proposition, là encore, ne prend pas en compte les effets induits sur le mix-logistique</w:t>
      </w:r>
      <w:r w:rsidRPr="00366BF3">
        <w:rPr>
          <w:rStyle w:val="Appelnotedebasdep"/>
          <w:color w:val="000000" w:themeColor="text1"/>
        </w:rPr>
        <w:footnoteReference w:id="1"/>
      </w:r>
      <w:r w:rsidRPr="00366BF3">
        <w:rPr>
          <w:color w:val="000000" w:themeColor="text1"/>
        </w:rPr>
        <w:t xml:space="preserve"> des PSL. En effet, le volume des promotions (17% du chiffre d’affaires des enseignes de distribution alimentaire) contribue fortement à réduire les kilomètres parcourus à vide par le transport routier, à aider à un meilleur taux de remplissage de ce transport tout en optimisant son taux d’utilisation sur 24 heures. La hausse des coûts logistiques pourrait venir perturber l’idée d’un retour de marges plus conséquentes à destination du maillon de l’amont agricole.</w:t>
      </w:r>
    </w:p>
    <w:p w:rsidR="00A85F0B" w:rsidRPr="00366BF3" w:rsidRDefault="00A85F0B" w:rsidP="00281482">
      <w:pPr>
        <w:spacing w:line="480" w:lineRule="auto"/>
        <w:jc w:val="both"/>
        <w:rPr>
          <w:color w:val="000000" w:themeColor="text1"/>
        </w:rPr>
      </w:pPr>
      <w:r w:rsidRPr="00366BF3">
        <w:rPr>
          <w:color w:val="000000" w:themeColor="text1"/>
        </w:rPr>
        <w:t xml:space="preserve">Enfin, </w:t>
      </w:r>
      <w:r w:rsidRPr="00366BF3">
        <w:rPr>
          <w:b/>
          <w:color w:val="000000" w:themeColor="text1"/>
        </w:rPr>
        <w:t>l’augmentation du Seuil de Revente à Perte (SRP) de 10%</w:t>
      </w:r>
      <w:r w:rsidRPr="00366BF3">
        <w:rPr>
          <w:color w:val="000000" w:themeColor="text1"/>
        </w:rPr>
        <w:t xml:space="preserve"> doit permettre une meilleure prise en compte des coûts logistiques et de mise en marché des distributeurs. </w:t>
      </w:r>
      <w:r w:rsidR="00146F90" w:rsidRPr="00366BF3">
        <w:rPr>
          <w:color w:val="000000" w:themeColor="text1"/>
        </w:rPr>
        <w:t xml:space="preserve">Le SRP a été </w:t>
      </w:r>
      <w:r w:rsidR="00EC3EBD" w:rsidRPr="00366BF3">
        <w:rPr>
          <w:color w:val="000000" w:themeColor="text1"/>
        </w:rPr>
        <w:t>instauré</w:t>
      </w:r>
      <w:r w:rsidR="00146F90" w:rsidRPr="00366BF3">
        <w:rPr>
          <w:color w:val="000000" w:themeColor="text1"/>
        </w:rPr>
        <w:t xml:space="preserve"> par le législateur</w:t>
      </w:r>
      <w:r w:rsidR="00EC3EBD" w:rsidRPr="00366BF3">
        <w:rPr>
          <w:color w:val="000000" w:themeColor="text1"/>
        </w:rPr>
        <w:t>, dans le cadre de la Loi Galland de 1996,</w:t>
      </w:r>
      <w:r w:rsidR="00146F90" w:rsidRPr="00366BF3">
        <w:rPr>
          <w:color w:val="000000" w:themeColor="text1"/>
        </w:rPr>
        <w:t xml:space="preserve"> </w:t>
      </w:r>
      <w:r w:rsidR="00EC3EBD" w:rsidRPr="00366BF3">
        <w:rPr>
          <w:color w:val="000000" w:themeColor="text1"/>
        </w:rPr>
        <w:t xml:space="preserve">et </w:t>
      </w:r>
      <w:r w:rsidR="00146F90" w:rsidRPr="00366BF3">
        <w:rPr>
          <w:color w:val="000000" w:themeColor="text1"/>
        </w:rPr>
        <w:t xml:space="preserve">dans l’objectif de </w:t>
      </w:r>
      <w:r w:rsidR="00146F90" w:rsidRPr="00366BF3">
        <w:rPr>
          <w:color w:val="000000" w:themeColor="text1"/>
        </w:rPr>
        <w:lastRenderedPageBreak/>
        <w:t>lutter contre les prix prédateurs et abusivement bas que la grande distribution</w:t>
      </w:r>
      <w:r w:rsidR="00EC3EBD" w:rsidRPr="00366BF3">
        <w:rPr>
          <w:color w:val="000000" w:themeColor="text1"/>
        </w:rPr>
        <w:t xml:space="preserve">, de par sa puissance d’achat, </w:t>
      </w:r>
      <w:r w:rsidR="00146F90" w:rsidRPr="00366BF3">
        <w:rPr>
          <w:color w:val="000000" w:themeColor="text1"/>
        </w:rPr>
        <w:t>est en mesure de proposer à sa clientèle</w:t>
      </w:r>
      <w:r w:rsidR="00EC3EBD" w:rsidRPr="00366BF3">
        <w:rPr>
          <w:color w:val="000000" w:themeColor="text1"/>
        </w:rPr>
        <w:t xml:space="preserve"> pour améliorer son image prix. Le SRP es</w:t>
      </w:r>
      <w:r w:rsidR="00DD7A63" w:rsidRPr="00366BF3">
        <w:rPr>
          <w:color w:val="000000" w:themeColor="text1"/>
        </w:rPr>
        <w:t>t un concept important qui fixe l</w:t>
      </w:r>
      <w:r w:rsidR="00EC3EBD" w:rsidRPr="00366BF3">
        <w:rPr>
          <w:color w:val="000000" w:themeColor="text1"/>
        </w:rPr>
        <w:t xml:space="preserve">a limite de prix en dessous de laquelle un distributeur ne peut revendre un produit sous peine de pouvoir être lourdement sanctionné pour revente à perte. </w:t>
      </w:r>
      <w:r w:rsidRPr="00366BF3">
        <w:rPr>
          <w:color w:val="000000" w:themeColor="text1"/>
        </w:rPr>
        <w:t>Cette proposition</w:t>
      </w:r>
      <w:r w:rsidR="00EC3EBD" w:rsidRPr="00366BF3">
        <w:rPr>
          <w:color w:val="000000" w:themeColor="text1"/>
        </w:rPr>
        <w:t xml:space="preserve"> de relèvement du SRP</w:t>
      </w:r>
      <w:r w:rsidRPr="00366BF3">
        <w:rPr>
          <w:color w:val="000000" w:themeColor="text1"/>
        </w:rPr>
        <w:t>, si elle devait être maintenue dans le projet de loi, vient soutenir la théorie du ruissellement des marges à savoir que le fait de garantir aux distributeurs 10% de marge brute en plus viendrait permettre aux industriels de vendre leur assortiment 10% plus chers et, donc, que les chargeurs eux-mêmes achèteront 10% plus chers leurs matières premières agricoles. Cette proposition pose la question de savoir si la percolation des marges des distributeurs vers les industriels puis vers les producteurs est envisageable. Pour autant,</w:t>
      </w:r>
      <w:r w:rsidR="003C61B3" w:rsidRPr="00366BF3">
        <w:rPr>
          <w:color w:val="000000" w:themeColor="text1"/>
        </w:rPr>
        <w:t xml:space="preserve"> cette</w:t>
      </w:r>
      <w:r w:rsidRPr="00366BF3">
        <w:rPr>
          <w:color w:val="000000" w:themeColor="text1"/>
        </w:rPr>
        <w:t xml:space="preserve"> proposition tend à fixer aléatoirement à 10% un coût logistique total du distributeur alors même que les frais de logistique et de fonctionnement d’une centrale d’achat de la grande distribution française sont plus proches de 3%.</w:t>
      </w:r>
    </w:p>
    <w:p w:rsidR="00220A76" w:rsidRPr="00366BF3" w:rsidRDefault="00A85F0B" w:rsidP="00281482">
      <w:pPr>
        <w:spacing w:line="480" w:lineRule="auto"/>
        <w:jc w:val="both"/>
        <w:rPr>
          <w:color w:val="000000" w:themeColor="text1"/>
        </w:rPr>
      </w:pPr>
      <w:r w:rsidRPr="00366BF3">
        <w:rPr>
          <w:color w:val="000000" w:themeColor="text1"/>
        </w:rPr>
        <w:t xml:space="preserve">Les résultats liés à la tenue des Etats Généraux de l’Alimentation 2017 démontrent que pour l’Etat et la puissance publique, le rôle des prestataires de services logistiques demeure encore mineur en termes de poids sur la valeur ajoutée dégagée au sein des chaines de valeur alimentaires. </w:t>
      </w:r>
    </w:p>
    <w:p w:rsidR="00F178BB" w:rsidRPr="00366BF3" w:rsidRDefault="00011518" w:rsidP="00281482">
      <w:pPr>
        <w:spacing w:line="480" w:lineRule="auto"/>
        <w:ind w:left="1"/>
        <w:jc w:val="both"/>
        <w:rPr>
          <w:b/>
          <w:i/>
          <w:color w:val="000000" w:themeColor="text1"/>
        </w:rPr>
      </w:pPr>
      <w:r w:rsidRPr="00366BF3">
        <w:rPr>
          <w:b/>
          <w:color w:val="000000" w:themeColor="text1"/>
        </w:rPr>
        <w:t>1-2- L’évolution et le développement du PSL dans le canal de distribution</w:t>
      </w:r>
      <w:r w:rsidRPr="00366BF3">
        <w:rPr>
          <w:b/>
          <w:i/>
          <w:color w:val="000000" w:themeColor="text1"/>
        </w:rPr>
        <w:t> </w:t>
      </w:r>
      <w:r w:rsidRPr="00366BF3">
        <w:rPr>
          <w:color w:val="000000" w:themeColor="text1"/>
        </w:rPr>
        <w:t xml:space="preserve"> </w:t>
      </w:r>
    </w:p>
    <w:p w:rsidR="00574344" w:rsidRPr="00366BF3" w:rsidRDefault="00574344" w:rsidP="00281482">
      <w:pPr>
        <w:spacing w:before="120" w:after="120" w:line="480" w:lineRule="auto"/>
        <w:jc w:val="both"/>
        <w:rPr>
          <w:color w:val="000000" w:themeColor="text1"/>
          <w:szCs w:val="24"/>
        </w:rPr>
      </w:pPr>
      <w:r w:rsidRPr="00366BF3">
        <w:rPr>
          <w:color w:val="000000" w:themeColor="text1"/>
          <w:szCs w:val="24"/>
        </w:rPr>
        <w:t>A partir des années 1990, dans les filières alimentaires, l’intérêt marqué des distributeurs pour la logistique a fait profondément évoluer les chaines logistiques multi-acteurs (</w:t>
      </w:r>
      <w:r w:rsidR="00796D8D" w:rsidRPr="00366BF3">
        <w:rPr>
          <w:color w:val="000000" w:themeColor="text1"/>
          <w:szCs w:val="24"/>
        </w:rPr>
        <w:t xml:space="preserve">Chanut et Paché, 2012 ; </w:t>
      </w:r>
      <w:r w:rsidR="00FD1E5C" w:rsidRPr="00366BF3">
        <w:rPr>
          <w:color w:val="000000" w:themeColor="text1"/>
          <w:szCs w:val="24"/>
        </w:rPr>
        <w:t xml:space="preserve">Filser et </w:t>
      </w:r>
      <w:r w:rsidR="00AF5116">
        <w:rPr>
          <w:i/>
          <w:color w:val="000000" w:themeColor="text1"/>
          <w:szCs w:val="24"/>
        </w:rPr>
        <w:t>al.</w:t>
      </w:r>
      <w:r w:rsidR="00FD1E5C" w:rsidRPr="00366BF3">
        <w:rPr>
          <w:color w:val="000000" w:themeColor="text1"/>
          <w:szCs w:val="24"/>
        </w:rPr>
        <w:t>, 2012 </w:t>
      </w:r>
      <w:r w:rsidRPr="00366BF3">
        <w:rPr>
          <w:color w:val="000000" w:themeColor="text1"/>
          <w:szCs w:val="24"/>
        </w:rPr>
        <w:t xml:space="preserve">) déstabilisées par une remise en cause des schémas traditionnels de distribution auparavant maitrisés par les seuls industriels. Ainsi, la grande distribution a su développer, depuis son sourcing d’approvisionnement jusqu’à ses différents formats de magasins, des chemins logistiques fiables qui s’appuient sur des plateformes d’éclatement et de préparation de commandes. Dès lors, dans un contexte de prise de pouvoir des distributeurs </w:t>
      </w:r>
      <w:r w:rsidRPr="00366BF3">
        <w:rPr>
          <w:color w:val="000000" w:themeColor="text1"/>
          <w:szCs w:val="24"/>
        </w:rPr>
        <w:lastRenderedPageBreak/>
        <w:t xml:space="preserve">dans le canal, les industriels se retrouvent dans l’obligation de livrer plus fréquemment ces plateformes en tenant compte à la fois des raccourcissements des délais de transport, de la diminution généralisée de la taille des lots transportés et de la nécessité de préserver les DLC (Bonacich et Wilson, 2005). </w:t>
      </w:r>
    </w:p>
    <w:p w:rsidR="00574344" w:rsidRPr="00366BF3" w:rsidRDefault="00574344" w:rsidP="00281482">
      <w:pPr>
        <w:spacing w:before="120" w:line="480" w:lineRule="auto"/>
        <w:jc w:val="both"/>
        <w:rPr>
          <w:color w:val="000000" w:themeColor="text1"/>
          <w:szCs w:val="24"/>
        </w:rPr>
      </w:pPr>
      <w:r w:rsidRPr="00366BF3">
        <w:rPr>
          <w:color w:val="000000" w:themeColor="text1"/>
          <w:szCs w:val="24"/>
        </w:rPr>
        <w:t>Par ailleurs, dans ce contexte logistique fortement exigeant, en se désengageant des activités de transport et de logistique jugées secondaires au sein des chaines de valeur en produits frais, les industriels et les distributeurs ont favorisé l’apparition de nouveaux acteurs spécialisés dans le domaine de la logistique </w:t>
      </w:r>
      <w:r w:rsidR="00FA588D" w:rsidRPr="00366BF3">
        <w:rPr>
          <w:color w:val="000000" w:themeColor="text1"/>
          <w:szCs w:val="24"/>
        </w:rPr>
        <w:t xml:space="preserve">dont le métier « historique » (transport et stockage) a évolué progressivement vers un métier </w:t>
      </w:r>
      <w:r w:rsidR="00F926E1" w:rsidRPr="00366BF3">
        <w:rPr>
          <w:color w:val="000000" w:themeColor="text1"/>
          <w:szCs w:val="24"/>
        </w:rPr>
        <w:t>comprenant</w:t>
      </w:r>
      <w:r w:rsidR="00FA588D" w:rsidRPr="00366BF3">
        <w:rPr>
          <w:color w:val="000000" w:themeColor="text1"/>
          <w:szCs w:val="24"/>
        </w:rPr>
        <w:t xml:space="preserve"> de nouvelles composantes comme les services additionnels aux clients (Roques et Michrafy, 2003)</w:t>
      </w:r>
      <w:r w:rsidR="00C92F09" w:rsidRPr="00366BF3">
        <w:rPr>
          <w:color w:val="000000" w:themeColor="text1"/>
          <w:szCs w:val="24"/>
        </w:rPr>
        <w:t xml:space="preserve"> </w:t>
      </w:r>
      <w:r w:rsidRPr="00366BF3">
        <w:rPr>
          <w:color w:val="000000" w:themeColor="text1"/>
          <w:szCs w:val="24"/>
        </w:rPr>
        <w:t>: les Prestataires de Services Logistiques</w:t>
      </w:r>
      <w:r w:rsidRPr="00366BF3">
        <w:rPr>
          <w:color w:val="000000" w:themeColor="text1"/>
        </w:rPr>
        <w:t xml:space="preserve">. </w:t>
      </w:r>
    </w:p>
    <w:p w:rsidR="00E11475" w:rsidRPr="00366BF3" w:rsidRDefault="00E11475" w:rsidP="00281482">
      <w:pPr>
        <w:spacing w:before="120" w:after="120" w:line="480" w:lineRule="auto"/>
        <w:jc w:val="both"/>
        <w:rPr>
          <w:color w:val="000000" w:themeColor="text1"/>
          <w:szCs w:val="24"/>
        </w:rPr>
      </w:pPr>
      <w:r w:rsidRPr="00366BF3">
        <w:rPr>
          <w:color w:val="000000" w:themeColor="text1"/>
        </w:rPr>
        <w:t xml:space="preserve">Ainsi, en 25 ans, </w:t>
      </w:r>
      <w:r w:rsidRPr="00366BF3">
        <w:rPr>
          <w:color w:val="000000" w:themeColor="text1"/>
          <w:szCs w:val="24"/>
        </w:rPr>
        <w:t xml:space="preserve">les PSL </w:t>
      </w:r>
      <w:r w:rsidR="009C329A" w:rsidRPr="00366BF3">
        <w:rPr>
          <w:color w:val="000000" w:themeColor="text1"/>
          <w:szCs w:val="24"/>
        </w:rPr>
        <w:t>sont devenus</w:t>
      </w:r>
      <w:r w:rsidRPr="00366BF3">
        <w:rPr>
          <w:color w:val="000000" w:themeColor="text1"/>
          <w:szCs w:val="24"/>
        </w:rPr>
        <w:t xml:space="preserve"> des organisations indispensables au fonctionnement du canal de distribution au</w:t>
      </w:r>
      <w:r w:rsidR="00DD7A63" w:rsidRPr="00366BF3">
        <w:rPr>
          <w:color w:val="000000" w:themeColor="text1"/>
          <w:szCs w:val="24"/>
        </w:rPr>
        <w:t>x</w:t>
      </w:r>
      <w:r w:rsidRPr="00366BF3">
        <w:rPr>
          <w:color w:val="000000" w:themeColor="text1"/>
          <w:szCs w:val="24"/>
        </w:rPr>
        <w:t>quel</w:t>
      </w:r>
      <w:r w:rsidR="00DD7A63" w:rsidRPr="00366BF3">
        <w:rPr>
          <w:color w:val="000000" w:themeColor="text1"/>
          <w:szCs w:val="24"/>
        </w:rPr>
        <w:t>s</w:t>
      </w:r>
      <w:r w:rsidRPr="00366BF3">
        <w:rPr>
          <w:color w:val="000000" w:themeColor="text1"/>
          <w:szCs w:val="24"/>
        </w:rPr>
        <w:t xml:space="preserve"> les industriels et les distributeurs ne se contentent plus de confier des</w:t>
      </w:r>
      <w:r w:rsidR="00796D8D" w:rsidRPr="00366BF3">
        <w:rPr>
          <w:color w:val="000000" w:themeColor="text1"/>
          <w:szCs w:val="24"/>
        </w:rPr>
        <w:t> </w:t>
      </w:r>
      <w:r w:rsidRPr="00366BF3">
        <w:rPr>
          <w:color w:val="000000" w:themeColor="text1"/>
          <w:szCs w:val="24"/>
        </w:rPr>
        <w:t>tâches logistiques basiques</w:t>
      </w:r>
      <w:r w:rsidR="00796D8D" w:rsidRPr="00366BF3">
        <w:rPr>
          <w:color w:val="000000" w:themeColor="text1"/>
          <w:szCs w:val="24"/>
        </w:rPr>
        <w:t xml:space="preserve"> (transport et entreposage)</w:t>
      </w:r>
      <w:r w:rsidRPr="00366BF3">
        <w:rPr>
          <w:color w:val="000000" w:themeColor="text1"/>
          <w:szCs w:val="24"/>
        </w:rPr>
        <w:t>, mais au</w:t>
      </w:r>
      <w:r w:rsidR="00DD7A63" w:rsidRPr="00366BF3">
        <w:rPr>
          <w:color w:val="000000" w:themeColor="text1"/>
          <w:szCs w:val="24"/>
        </w:rPr>
        <w:t>x</w:t>
      </w:r>
      <w:r w:rsidRPr="00366BF3">
        <w:rPr>
          <w:color w:val="000000" w:themeColor="text1"/>
          <w:szCs w:val="24"/>
        </w:rPr>
        <w:t>quel</w:t>
      </w:r>
      <w:r w:rsidR="00DD7A63" w:rsidRPr="00366BF3">
        <w:rPr>
          <w:color w:val="000000" w:themeColor="text1"/>
          <w:szCs w:val="24"/>
        </w:rPr>
        <w:t>s</w:t>
      </w:r>
      <w:r w:rsidRPr="00366BF3">
        <w:rPr>
          <w:color w:val="000000" w:themeColor="text1"/>
          <w:szCs w:val="24"/>
        </w:rPr>
        <w:t xml:space="preserve"> ils consentent désormais à déléguer la gestion d’un ensemble de processus logistiques plus complexes (</w:t>
      </w:r>
      <w:r w:rsidR="009C329A" w:rsidRPr="00366BF3">
        <w:rPr>
          <w:color w:val="000000" w:themeColor="text1"/>
          <w:szCs w:val="24"/>
        </w:rPr>
        <w:t>Fulconis, Paché et</w:t>
      </w:r>
      <w:r w:rsidR="009C329A" w:rsidRPr="00366BF3">
        <w:rPr>
          <w:bCs/>
          <w:color w:val="000000" w:themeColor="text1"/>
          <w:szCs w:val="24"/>
        </w:rPr>
        <w:t xml:space="preserve"> Duong, 2017</w:t>
      </w:r>
      <w:r w:rsidRPr="00366BF3">
        <w:rPr>
          <w:color w:val="000000" w:themeColor="text1"/>
          <w:szCs w:val="24"/>
        </w:rPr>
        <w:t xml:space="preserve">). Plus précisément, en se positionnant à l’intersection de plusieurs chaines logistiques, le PSL est susceptible de proposer des solutions logistiques fondées sur sa capacité à consolider les volumes des différents chargeurs faisant appel à leurs services dans l’objectif de bénéficier d’économies d’échelle mais aussi sur sa capacité à innover tant sur les services proposés que sur les technologies et les processus logistiques déployés (Kacioui-Maurin et </w:t>
      </w:r>
      <w:r w:rsidR="00AF5116">
        <w:rPr>
          <w:i/>
          <w:color w:val="000000" w:themeColor="text1"/>
          <w:szCs w:val="24"/>
        </w:rPr>
        <w:t>al.</w:t>
      </w:r>
      <w:r w:rsidR="00BF2760" w:rsidRPr="00366BF3">
        <w:rPr>
          <w:color w:val="000000" w:themeColor="text1"/>
          <w:szCs w:val="24"/>
        </w:rPr>
        <w:t>, 2016</w:t>
      </w:r>
      <w:r w:rsidRPr="00366BF3">
        <w:rPr>
          <w:color w:val="000000" w:themeColor="text1"/>
          <w:szCs w:val="24"/>
        </w:rPr>
        <w:t xml:space="preserve">). </w:t>
      </w:r>
      <w:r w:rsidR="00D40FD8" w:rsidRPr="00366BF3">
        <w:rPr>
          <w:color w:val="000000" w:themeColor="text1"/>
          <w:szCs w:val="24"/>
        </w:rPr>
        <w:t>En s’appuyant sur leur intelligence stratégique</w:t>
      </w:r>
      <w:r w:rsidRPr="00366BF3">
        <w:rPr>
          <w:color w:val="000000" w:themeColor="text1"/>
          <w:szCs w:val="24"/>
        </w:rPr>
        <w:t xml:space="preserve">, l’offre proposée par les PSL doit </w:t>
      </w:r>
      <w:r w:rsidR="003C61B3" w:rsidRPr="00366BF3">
        <w:rPr>
          <w:color w:val="000000" w:themeColor="text1"/>
          <w:szCs w:val="24"/>
        </w:rPr>
        <w:t xml:space="preserve">alors </w:t>
      </w:r>
      <w:r w:rsidRPr="00366BF3">
        <w:rPr>
          <w:color w:val="000000" w:themeColor="text1"/>
          <w:szCs w:val="24"/>
        </w:rPr>
        <w:t>prendre en compte les évolutions des stratégies logistiques des industriels et des distributeurs</w:t>
      </w:r>
      <w:r w:rsidR="00D40FD8" w:rsidRPr="00366BF3">
        <w:rPr>
          <w:color w:val="000000" w:themeColor="text1"/>
          <w:szCs w:val="24"/>
        </w:rPr>
        <w:t xml:space="preserve"> (Wagner et Sutter, 2012, Wallenburg et Lukassen, 2011)</w:t>
      </w:r>
      <w:r w:rsidRPr="00366BF3">
        <w:rPr>
          <w:color w:val="000000" w:themeColor="text1"/>
          <w:szCs w:val="24"/>
        </w:rPr>
        <w:t xml:space="preserve">. Plus précisément, les axes de réflexion se rapportent principalement aux coûts de transport, à la traçabilité (produit et logistique), aux performances de la </w:t>
      </w:r>
      <w:r w:rsidRPr="00366BF3">
        <w:rPr>
          <w:i/>
          <w:color w:val="000000" w:themeColor="text1"/>
          <w:szCs w:val="24"/>
        </w:rPr>
        <w:t>Supply Chain</w:t>
      </w:r>
      <w:r w:rsidRPr="00366BF3">
        <w:rPr>
          <w:color w:val="000000" w:themeColor="text1"/>
          <w:szCs w:val="24"/>
        </w:rPr>
        <w:t xml:space="preserve">, à la flexibilité des flux physiques, aux prestations sur mesure, </w:t>
      </w:r>
      <w:r w:rsidRPr="00366BF3">
        <w:rPr>
          <w:i/>
          <w:color w:val="000000" w:themeColor="text1"/>
          <w:szCs w:val="24"/>
        </w:rPr>
        <w:t xml:space="preserve">etc. </w:t>
      </w:r>
      <w:r w:rsidRPr="00366BF3">
        <w:rPr>
          <w:color w:val="000000" w:themeColor="text1"/>
          <w:szCs w:val="24"/>
        </w:rPr>
        <w:t>(</w:t>
      </w:r>
      <w:r w:rsidR="004E368B" w:rsidRPr="00366BF3">
        <w:rPr>
          <w:color w:val="000000" w:themeColor="text1"/>
          <w:szCs w:val="24"/>
        </w:rPr>
        <w:t>Gozé-Bardin, 2009</w:t>
      </w:r>
      <w:r w:rsidRPr="00366BF3">
        <w:rPr>
          <w:color w:val="000000" w:themeColor="text1"/>
          <w:szCs w:val="24"/>
        </w:rPr>
        <w:t xml:space="preserve">). Il est à noter que ces axes de réflexion se </w:t>
      </w:r>
      <w:r w:rsidRPr="00366BF3">
        <w:rPr>
          <w:color w:val="000000" w:themeColor="text1"/>
          <w:szCs w:val="24"/>
        </w:rPr>
        <w:lastRenderedPageBreak/>
        <w:t>renforcent au regard de l’évolution du contexte législatif depuis la promulgation de la LME qui a cristallisé les négociations commerciales autour des champs de la logistique et de la supply chain</w:t>
      </w:r>
      <w:r w:rsidR="00796D8D" w:rsidRPr="00366BF3">
        <w:rPr>
          <w:color w:val="000000" w:themeColor="text1"/>
          <w:szCs w:val="24"/>
        </w:rPr>
        <w:t xml:space="preserve"> (George et </w:t>
      </w:r>
      <w:r w:rsidR="00AF5116">
        <w:rPr>
          <w:i/>
          <w:color w:val="000000" w:themeColor="text1"/>
          <w:szCs w:val="24"/>
        </w:rPr>
        <w:t>al.</w:t>
      </w:r>
      <w:r w:rsidR="00796D8D" w:rsidRPr="00366BF3">
        <w:rPr>
          <w:color w:val="000000" w:themeColor="text1"/>
          <w:szCs w:val="24"/>
        </w:rPr>
        <w:t>,</w:t>
      </w:r>
      <w:r w:rsidR="009C725E" w:rsidRPr="00366BF3">
        <w:rPr>
          <w:color w:val="000000" w:themeColor="text1"/>
          <w:szCs w:val="24"/>
        </w:rPr>
        <w:t xml:space="preserve"> 2014</w:t>
      </w:r>
      <w:r w:rsidR="00796D8D" w:rsidRPr="00366BF3">
        <w:rPr>
          <w:color w:val="000000" w:themeColor="text1"/>
          <w:szCs w:val="24"/>
        </w:rPr>
        <w:t>)</w:t>
      </w:r>
      <w:r w:rsidRPr="00366BF3">
        <w:rPr>
          <w:color w:val="000000" w:themeColor="text1"/>
          <w:szCs w:val="24"/>
        </w:rPr>
        <w:t xml:space="preserve">. </w:t>
      </w:r>
    </w:p>
    <w:p w:rsidR="007C0147" w:rsidRPr="00366BF3" w:rsidRDefault="00E11475" w:rsidP="00281482">
      <w:pPr>
        <w:spacing w:before="120" w:after="120" w:line="480" w:lineRule="auto"/>
        <w:jc w:val="both"/>
        <w:rPr>
          <w:color w:val="000000" w:themeColor="text1"/>
          <w:szCs w:val="24"/>
        </w:rPr>
      </w:pPr>
      <w:r w:rsidRPr="00366BF3">
        <w:rPr>
          <w:color w:val="000000" w:themeColor="text1"/>
          <w:szCs w:val="24"/>
        </w:rPr>
        <w:t>En définitive, le PSL n’apparait plus comme un simple satellite au sein des chaines logistiques alimentaires que construisent les industriels et les distributeurs mais il devient un « architecte », un « orchestrateur »</w:t>
      </w:r>
      <w:r w:rsidR="0030422E" w:rsidRPr="00366BF3">
        <w:rPr>
          <w:color w:val="000000" w:themeColor="text1"/>
          <w:szCs w:val="24"/>
        </w:rPr>
        <w:t>, un 4PL (Fourth Party Logistics) (</w:t>
      </w:r>
      <w:r w:rsidR="0030422E" w:rsidRPr="00366BF3">
        <w:rPr>
          <w:i/>
          <w:color w:val="000000" w:themeColor="text1"/>
          <w:szCs w:val="24"/>
        </w:rPr>
        <w:t>cf.</w:t>
      </w:r>
      <w:r w:rsidR="0030422E" w:rsidRPr="00366BF3">
        <w:rPr>
          <w:color w:val="000000" w:themeColor="text1"/>
          <w:szCs w:val="24"/>
        </w:rPr>
        <w:t xml:space="preserve"> tableau </w:t>
      </w:r>
      <w:r w:rsidR="009C725E" w:rsidRPr="00366BF3">
        <w:rPr>
          <w:color w:val="000000" w:themeColor="text1"/>
          <w:szCs w:val="24"/>
        </w:rPr>
        <w:t>n°1</w:t>
      </w:r>
      <w:r w:rsidR="0030422E" w:rsidRPr="00366BF3">
        <w:rPr>
          <w:color w:val="000000" w:themeColor="text1"/>
          <w:szCs w:val="24"/>
        </w:rPr>
        <w:t>)</w:t>
      </w:r>
      <w:r w:rsidRPr="00366BF3">
        <w:rPr>
          <w:color w:val="000000" w:themeColor="text1"/>
          <w:szCs w:val="24"/>
        </w:rPr>
        <w:t xml:space="preserve"> à la fois pilote des flux assurant un rôle d’intermédiation entre un client et des fournisseurs spécialisés sur des activités de transport et d’entreposage</w:t>
      </w:r>
      <w:r w:rsidR="009C725E" w:rsidRPr="00366BF3">
        <w:rPr>
          <w:color w:val="000000" w:themeColor="text1"/>
          <w:szCs w:val="24"/>
        </w:rPr>
        <w:t xml:space="preserve"> et</w:t>
      </w:r>
      <w:r w:rsidRPr="00366BF3">
        <w:rPr>
          <w:color w:val="000000" w:themeColor="text1"/>
          <w:szCs w:val="24"/>
        </w:rPr>
        <w:t xml:space="preserve"> concepteur de solutions logistiques adaptées aux demandes parfois très spécifiques des clients</w:t>
      </w:r>
      <w:r w:rsidR="0032054E" w:rsidRPr="00366BF3">
        <w:rPr>
          <w:color w:val="000000" w:themeColor="text1"/>
          <w:szCs w:val="24"/>
        </w:rPr>
        <w:t xml:space="preserve"> </w:t>
      </w:r>
      <w:r w:rsidRPr="00366BF3">
        <w:rPr>
          <w:color w:val="000000" w:themeColor="text1"/>
          <w:szCs w:val="24"/>
        </w:rPr>
        <w:t>(Fulconis et Roveillo, 2017 ;</w:t>
      </w:r>
      <w:r w:rsidR="0032054E" w:rsidRPr="00366BF3">
        <w:rPr>
          <w:color w:val="000000" w:themeColor="text1"/>
          <w:szCs w:val="24"/>
        </w:rPr>
        <w:t xml:space="preserve"> Fulconis et Saglietto, 2015</w:t>
      </w:r>
      <w:r w:rsidRPr="00366BF3">
        <w:rPr>
          <w:color w:val="000000" w:themeColor="text1"/>
          <w:szCs w:val="24"/>
        </w:rPr>
        <w:t xml:space="preserve">). </w:t>
      </w:r>
      <w:r w:rsidR="007C0147" w:rsidRPr="00366BF3">
        <w:rPr>
          <w:color w:val="000000" w:themeColor="text1"/>
          <w:szCs w:val="24"/>
        </w:rPr>
        <w:t>Le PSL</w:t>
      </w:r>
      <w:r w:rsidR="009C725E" w:rsidRPr="00366BF3">
        <w:rPr>
          <w:color w:val="000000" w:themeColor="text1"/>
          <w:szCs w:val="24"/>
        </w:rPr>
        <w:t xml:space="preserve"> </w:t>
      </w:r>
      <w:r w:rsidRPr="00366BF3">
        <w:rPr>
          <w:color w:val="000000" w:themeColor="text1"/>
          <w:szCs w:val="24"/>
        </w:rPr>
        <w:t>peut aussi devenir un tiers de confiance dans la diffusion de démarches collaboratives</w:t>
      </w:r>
      <w:r w:rsidR="00D06942" w:rsidRPr="00366BF3">
        <w:rPr>
          <w:color w:val="000000" w:themeColor="text1"/>
          <w:szCs w:val="24"/>
        </w:rPr>
        <w:t xml:space="preserve"> entre</w:t>
      </w:r>
      <w:r w:rsidRPr="00366BF3">
        <w:rPr>
          <w:color w:val="000000" w:themeColor="text1"/>
          <w:szCs w:val="24"/>
        </w:rPr>
        <w:t xml:space="preserve"> firmes concurrentes dans les canaux de distribution</w:t>
      </w:r>
      <w:r w:rsidR="004A0F49" w:rsidRPr="00366BF3">
        <w:rPr>
          <w:color w:val="000000" w:themeColor="text1"/>
          <w:szCs w:val="24"/>
        </w:rPr>
        <w:t xml:space="preserve"> </w:t>
      </w:r>
      <w:r w:rsidRPr="00366BF3">
        <w:rPr>
          <w:color w:val="000000" w:themeColor="text1"/>
          <w:szCs w:val="24"/>
        </w:rPr>
        <w:t xml:space="preserve">(Clay-Puaux et </w:t>
      </w:r>
      <w:r w:rsidR="00AF5116">
        <w:rPr>
          <w:i/>
          <w:color w:val="000000" w:themeColor="text1"/>
          <w:szCs w:val="24"/>
        </w:rPr>
        <w:t>al.</w:t>
      </w:r>
      <w:r w:rsidR="00DE2D75" w:rsidRPr="00366BF3">
        <w:rPr>
          <w:color w:val="000000" w:themeColor="text1"/>
          <w:szCs w:val="24"/>
        </w:rPr>
        <w:t>, 2015)</w:t>
      </w:r>
      <w:r w:rsidR="00D20D45" w:rsidRPr="00366BF3">
        <w:rPr>
          <w:color w:val="000000" w:themeColor="text1"/>
          <w:szCs w:val="24"/>
        </w:rPr>
        <w:t xml:space="preserve"> </w:t>
      </w:r>
    </w:p>
    <w:p w:rsidR="00B04109" w:rsidRPr="00366BF3" w:rsidRDefault="00562ECF" w:rsidP="00281482">
      <w:pPr>
        <w:spacing w:before="120" w:after="120" w:line="480" w:lineRule="auto"/>
        <w:jc w:val="both"/>
        <w:rPr>
          <w:color w:val="000000" w:themeColor="text1"/>
        </w:rPr>
      </w:pPr>
      <w:r w:rsidRPr="00366BF3">
        <w:rPr>
          <w:color w:val="000000" w:themeColor="text1"/>
          <w:szCs w:val="24"/>
        </w:rPr>
        <w:t>Plus précisément</w:t>
      </w:r>
      <w:r w:rsidR="00D20D45" w:rsidRPr="00366BF3">
        <w:rPr>
          <w:color w:val="000000" w:themeColor="text1"/>
          <w:szCs w:val="24"/>
        </w:rPr>
        <w:t xml:space="preserve">, </w:t>
      </w:r>
      <w:r w:rsidRPr="00366BF3">
        <w:rPr>
          <w:color w:val="000000" w:themeColor="text1"/>
          <w:szCs w:val="24"/>
        </w:rPr>
        <w:t xml:space="preserve">ces évolutions profondes du rôle du PSL au sein des chaines logistiques des produits frais et ultras </w:t>
      </w:r>
      <w:r w:rsidR="00DD7A63" w:rsidRPr="00366BF3">
        <w:rPr>
          <w:color w:val="000000" w:themeColor="text1"/>
          <w:szCs w:val="24"/>
        </w:rPr>
        <w:t xml:space="preserve">frais </w:t>
      </w:r>
      <w:r w:rsidRPr="00366BF3">
        <w:rPr>
          <w:color w:val="000000" w:themeColor="text1"/>
          <w:szCs w:val="24"/>
        </w:rPr>
        <w:t>aux caractéristiques spécifiques et exigeantes (</w:t>
      </w:r>
      <w:r w:rsidR="00060800" w:rsidRPr="00366BF3">
        <w:rPr>
          <w:color w:val="000000" w:themeColor="text1"/>
          <w:szCs w:val="24"/>
        </w:rPr>
        <w:t>l</w:t>
      </w:r>
      <w:r w:rsidRPr="00366BF3">
        <w:rPr>
          <w:color w:val="000000" w:themeColor="text1"/>
          <w:szCs w:val="24"/>
        </w:rPr>
        <w:t xml:space="preserve">a non </w:t>
      </w:r>
      <w:r w:rsidR="007C0147" w:rsidRPr="00366BF3">
        <w:rPr>
          <w:color w:val="000000" w:themeColor="text1"/>
          <w:szCs w:val="24"/>
        </w:rPr>
        <w:t>rupture</w:t>
      </w:r>
      <w:r w:rsidRPr="00366BF3">
        <w:rPr>
          <w:color w:val="000000" w:themeColor="text1"/>
          <w:szCs w:val="24"/>
        </w:rPr>
        <w:t xml:space="preserve"> de la chaine du froid, le temps de réactivité court entre la commande et la livraison, etc.) mettent en exergue le fait qu’il développe </w:t>
      </w:r>
      <w:r w:rsidRPr="00366BF3">
        <w:rPr>
          <w:color w:val="000000" w:themeColor="text1"/>
        </w:rPr>
        <w:t>une offre de service particulière comprenant les activités trad</w:t>
      </w:r>
      <w:r w:rsidR="00DD7A63" w:rsidRPr="00366BF3">
        <w:rPr>
          <w:color w:val="000000" w:themeColor="text1"/>
        </w:rPr>
        <w:t>itionnelles du transport dirigé</w:t>
      </w:r>
      <w:r w:rsidRPr="00366BF3">
        <w:rPr>
          <w:color w:val="000000" w:themeColor="text1"/>
        </w:rPr>
        <w:t> : la messagerie et le transport de lot</w:t>
      </w:r>
      <w:r w:rsidR="00DD7A63" w:rsidRPr="00366BF3">
        <w:rPr>
          <w:color w:val="000000" w:themeColor="text1"/>
        </w:rPr>
        <w:t>s</w:t>
      </w:r>
      <w:r w:rsidR="003E6B35" w:rsidRPr="00366BF3">
        <w:rPr>
          <w:color w:val="000000" w:themeColor="text1"/>
        </w:rPr>
        <w:t xml:space="preserve">. A ces activités classiques, </w:t>
      </w:r>
      <w:r w:rsidRPr="00366BF3">
        <w:rPr>
          <w:color w:val="000000" w:themeColor="text1"/>
        </w:rPr>
        <w:t xml:space="preserve">les PSL élargissent leur offre vers </w:t>
      </w:r>
      <w:r w:rsidR="000266E0" w:rsidRPr="00366BF3">
        <w:rPr>
          <w:color w:val="000000" w:themeColor="text1"/>
        </w:rPr>
        <w:t xml:space="preserve">des activités à valeur ajoutée comme par exemple </w:t>
      </w:r>
      <w:r w:rsidRPr="00366BF3">
        <w:rPr>
          <w:color w:val="000000" w:themeColor="text1"/>
        </w:rPr>
        <w:t>des activités de gestion de l’information (tracing et tracking) (</w:t>
      </w:r>
      <w:r w:rsidR="001D64EF" w:rsidRPr="00366BF3">
        <w:rPr>
          <w:color w:val="000000" w:themeColor="text1"/>
        </w:rPr>
        <w:t>Duong et Paché, 2015</w:t>
      </w:r>
      <w:r w:rsidRPr="00366BF3">
        <w:rPr>
          <w:color w:val="000000" w:themeColor="text1"/>
        </w:rPr>
        <w:t>).</w:t>
      </w:r>
      <w:r w:rsidR="001D64EF" w:rsidRPr="00366BF3">
        <w:rPr>
          <w:color w:val="000000" w:themeColor="text1"/>
        </w:rPr>
        <w:t xml:space="preserve"> Aussi, en nous appuyant sur la </w:t>
      </w:r>
      <w:r w:rsidR="00FB5081" w:rsidRPr="00366BF3">
        <w:rPr>
          <w:color w:val="000000" w:themeColor="text1"/>
        </w:rPr>
        <w:t>catégorisation</w:t>
      </w:r>
      <w:r w:rsidR="001D64EF" w:rsidRPr="00366BF3">
        <w:rPr>
          <w:color w:val="000000" w:themeColor="text1"/>
        </w:rPr>
        <w:t xml:space="preserve"> </w:t>
      </w:r>
      <w:r w:rsidR="00FB5081" w:rsidRPr="00366BF3">
        <w:rPr>
          <w:color w:val="000000" w:themeColor="text1"/>
        </w:rPr>
        <w:t xml:space="preserve">proposée par le cabinet </w:t>
      </w:r>
      <w:r w:rsidR="003C61B3" w:rsidRPr="00366BF3">
        <w:rPr>
          <w:color w:val="000000" w:themeColor="text1"/>
        </w:rPr>
        <w:t>A</w:t>
      </w:r>
      <w:r w:rsidR="00FB5081" w:rsidRPr="00366BF3">
        <w:rPr>
          <w:color w:val="000000" w:themeColor="text1"/>
        </w:rPr>
        <w:t xml:space="preserve">ccenture </w:t>
      </w:r>
      <w:r w:rsidR="001D64EF" w:rsidRPr="00366BF3">
        <w:rPr>
          <w:color w:val="000000" w:themeColor="text1"/>
        </w:rPr>
        <w:t xml:space="preserve">nous pouvons </w:t>
      </w:r>
      <w:r w:rsidR="00FB5081" w:rsidRPr="00366BF3">
        <w:rPr>
          <w:color w:val="000000" w:themeColor="text1"/>
        </w:rPr>
        <w:t>résumer</w:t>
      </w:r>
      <w:r w:rsidR="001D64EF" w:rsidRPr="00366BF3">
        <w:rPr>
          <w:color w:val="000000" w:themeColor="text1"/>
        </w:rPr>
        <w:t xml:space="preserve"> la diversité des rôles plus ou moins complexes selon le type de prestation proposée par le PSL</w:t>
      </w:r>
      <w:r w:rsidR="00FB5081" w:rsidRPr="00366BF3">
        <w:rPr>
          <w:color w:val="000000" w:themeColor="text1"/>
        </w:rPr>
        <w:t xml:space="preserve"> dans le domaine du Thermo dirigé (</w:t>
      </w:r>
      <w:r w:rsidR="00FB5081" w:rsidRPr="00366BF3">
        <w:rPr>
          <w:i/>
          <w:color w:val="000000" w:themeColor="text1"/>
        </w:rPr>
        <w:t>cf.</w:t>
      </w:r>
      <w:r w:rsidR="00FB5081" w:rsidRPr="00366BF3">
        <w:rPr>
          <w:color w:val="000000" w:themeColor="text1"/>
        </w:rPr>
        <w:t xml:space="preserve"> tableau 1</w:t>
      </w:r>
      <w:r w:rsidR="00B04109" w:rsidRPr="00366BF3">
        <w:rPr>
          <w:color w:val="000000" w:themeColor="text1"/>
        </w:rPr>
        <w:t>)</w:t>
      </w:r>
      <w:r w:rsidR="00786F07" w:rsidRPr="00366BF3">
        <w:rPr>
          <w:color w:val="000000" w:themeColor="text1"/>
        </w:rPr>
        <w:t>.</w:t>
      </w:r>
    </w:p>
    <w:p w:rsidR="00060800" w:rsidRPr="00366BF3" w:rsidRDefault="007E6304" w:rsidP="00281482">
      <w:pPr>
        <w:spacing w:line="480" w:lineRule="auto"/>
        <w:jc w:val="both"/>
        <w:rPr>
          <w:color w:val="000000" w:themeColor="text1"/>
          <w:szCs w:val="24"/>
        </w:rPr>
      </w:pPr>
      <w:r w:rsidRPr="00366BF3">
        <w:rPr>
          <w:color w:val="000000" w:themeColor="text1"/>
          <w:szCs w:val="24"/>
        </w:rPr>
        <w:t xml:space="preserve">Si les chargeurs ont à leur disposition un ensemble de PSL susceptibles de répondre à leurs attentes, la réorganisation progressive des schémas logistiques vers le flux tendu les contraint à rechercher principalement des PSL susceptibles d’apporter </w:t>
      </w:r>
      <w:r w:rsidR="00060800" w:rsidRPr="00366BF3">
        <w:rPr>
          <w:color w:val="000000" w:themeColor="text1"/>
          <w:szCs w:val="24"/>
        </w:rPr>
        <w:t>des</w:t>
      </w:r>
      <w:r w:rsidRPr="00366BF3">
        <w:rPr>
          <w:color w:val="000000" w:themeColor="text1"/>
          <w:szCs w:val="24"/>
        </w:rPr>
        <w:t xml:space="preserve"> réponse</w:t>
      </w:r>
      <w:r w:rsidR="00060800" w:rsidRPr="00366BF3">
        <w:rPr>
          <w:color w:val="000000" w:themeColor="text1"/>
          <w:szCs w:val="24"/>
        </w:rPr>
        <w:t>s</w:t>
      </w:r>
      <w:r w:rsidRPr="00366BF3">
        <w:rPr>
          <w:color w:val="000000" w:themeColor="text1"/>
          <w:szCs w:val="24"/>
        </w:rPr>
        <w:t xml:space="preserve"> adaptée</w:t>
      </w:r>
      <w:r w:rsidR="00060800" w:rsidRPr="00366BF3">
        <w:rPr>
          <w:color w:val="000000" w:themeColor="text1"/>
          <w:szCs w:val="24"/>
        </w:rPr>
        <w:t>s</w:t>
      </w:r>
      <w:r w:rsidR="00711D2E" w:rsidRPr="00366BF3">
        <w:rPr>
          <w:color w:val="000000" w:themeColor="text1"/>
          <w:szCs w:val="24"/>
        </w:rPr>
        <w:t xml:space="preserve"> (</w:t>
      </w:r>
      <w:r w:rsidR="00711D2E" w:rsidRPr="00366BF3">
        <w:rPr>
          <w:i/>
          <w:color w:val="000000" w:themeColor="text1"/>
          <w:szCs w:val="24"/>
        </w:rPr>
        <w:t>cf</w:t>
      </w:r>
      <w:r w:rsidR="00DE2D75" w:rsidRPr="00366BF3">
        <w:rPr>
          <w:i/>
          <w:color w:val="000000" w:themeColor="text1"/>
          <w:szCs w:val="24"/>
        </w:rPr>
        <w:t>.</w:t>
      </w:r>
      <w:r w:rsidR="00711D2E" w:rsidRPr="00366BF3">
        <w:rPr>
          <w:color w:val="000000" w:themeColor="text1"/>
          <w:szCs w:val="24"/>
        </w:rPr>
        <w:t xml:space="preserve"> annexe </w:t>
      </w:r>
      <w:r w:rsidR="00033BEB" w:rsidRPr="00366BF3">
        <w:rPr>
          <w:color w:val="000000" w:themeColor="text1"/>
          <w:szCs w:val="24"/>
        </w:rPr>
        <w:t>1</w:t>
      </w:r>
      <w:r w:rsidR="00711D2E" w:rsidRPr="00366BF3">
        <w:rPr>
          <w:color w:val="000000" w:themeColor="text1"/>
          <w:szCs w:val="24"/>
        </w:rPr>
        <w:t>)</w:t>
      </w:r>
      <w:r w:rsidR="00060800" w:rsidRPr="00366BF3">
        <w:rPr>
          <w:color w:val="000000" w:themeColor="text1"/>
          <w:szCs w:val="24"/>
        </w:rPr>
        <w:t>.</w:t>
      </w:r>
      <w:r w:rsidRPr="00366BF3">
        <w:rPr>
          <w:color w:val="000000" w:themeColor="text1"/>
          <w:szCs w:val="24"/>
        </w:rPr>
        <w:t xml:space="preserve"> </w:t>
      </w:r>
      <w:r w:rsidR="00060800" w:rsidRPr="00366BF3">
        <w:rPr>
          <w:color w:val="000000" w:themeColor="text1"/>
          <w:szCs w:val="24"/>
        </w:rPr>
        <w:t xml:space="preserve">Dès lors, le PSL doit être susceptible de répondre à la diversité de leurs besoins par sa </w:t>
      </w:r>
      <w:r w:rsidR="00060800" w:rsidRPr="00366BF3">
        <w:rPr>
          <w:color w:val="000000" w:themeColor="text1"/>
          <w:szCs w:val="24"/>
        </w:rPr>
        <w:lastRenderedPageBreak/>
        <w:t>capacité à construire, exécuter</w:t>
      </w:r>
      <w:r w:rsidR="00DE2D75" w:rsidRPr="00366BF3">
        <w:rPr>
          <w:color w:val="000000" w:themeColor="text1"/>
          <w:szCs w:val="24"/>
        </w:rPr>
        <w:t>,</w:t>
      </w:r>
      <w:r w:rsidR="00060800" w:rsidRPr="00366BF3">
        <w:rPr>
          <w:color w:val="000000" w:themeColor="text1"/>
          <w:szCs w:val="24"/>
        </w:rPr>
        <w:t xml:space="preserve"> reconstruire des offres créatrices de valeur et sources de différenciation entre les PSL tout en rappelant que les marges dans le secteur de la prestation logistique sont faibles (Savy, 2017 ; Kacioui et </w:t>
      </w:r>
      <w:r w:rsidR="00AF5116">
        <w:rPr>
          <w:i/>
          <w:color w:val="000000" w:themeColor="text1"/>
          <w:szCs w:val="24"/>
        </w:rPr>
        <w:t>al.</w:t>
      </w:r>
      <w:r w:rsidR="00060800" w:rsidRPr="00366BF3">
        <w:rPr>
          <w:color w:val="000000" w:themeColor="text1"/>
          <w:szCs w:val="24"/>
        </w:rPr>
        <w:t xml:space="preserve">, 2016). Le PSL doit alors à la fois déterminer le point d’équilibre entre une personnalisation de l’offre de service tout en procédant à des économies d’échelle. </w:t>
      </w:r>
      <w:r w:rsidR="00961646" w:rsidRPr="00366BF3">
        <w:rPr>
          <w:color w:val="000000" w:themeColor="text1"/>
          <w:szCs w:val="24"/>
        </w:rPr>
        <w:t>Cette recherche d’équilibre est étroitement liée avec le niveau de service attendue et perçue par l’industriel (Sadia Samar et Kaur, 2018</w:t>
      </w:r>
      <w:r w:rsidR="00961646">
        <w:rPr>
          <w:color w:val="000000" w:themeColor="text1"/>
          <w:szCs w:val="24"/>
        </w:rPr>
        <w:t xml:space="preserve"> ; </w:t>
      </w:r>
      <w:r w:rsidR="00830D83" w:rsidRPr="00366BF3">
        <w:rPr>
          <w:color w:val="000000" w:themeColor="text1"/>
          <w:szCs w:val="24"/>
        </w:rPr>
        <w:t xml:space="preserve">Savy, 2017). </w:t>
      </w:r>
      <w:r w:rsidR="00060800" w:rsidRPr="00366BF3">
        <w:rPr>
          <w:color w:val="000000" w:themeColor="text1"/>
          <w:szCs w:val="24"/>
        </w:rPr>
        <w:t>Pour autant, la valeur perçue par l’industriel de l’offre de services du PSL va aussi dépendre du positionnement choisi par le PSL au sein du triangle stratégique des services proposés sur le marché.</w:t>
      </w:r>
    </w:p>
    <w:p w:rsidR="006E1548" w:rsidRDefault="006E1548" w:rsidP="00281482">
      <w:pPr>
        <w:spacing w:before="120" w:line="480" w:lineRule="auto"/>
        <w:jc w:val="center"/>
        <w:rPr>
          <w:b/>
          <w:color w:val="000000" w:themeColor="text1"/>
          <w:szCs w:val="24"/>
        </w:rPr>
        <w:sectPr w:rsidR="006E1548">
          <w:footerReference w:type="default" r:id="rId14"/>
          <w:pgSz w:w="11906" w:h="16838"/>
          <w:pgMar w:top="1417" w:right="1417" w:bottom="1417" w:left="1417" w:header="708" w:footer="708" w:gutter="0"/>
          <w:cols w:space="708"/>
          <w:docGrid w:linePitch="360"/>
        </w:sectPr>
      </w:pPr>
    </w:p>
    <w:tbl>
      <w:tblPr>
        <w:tblStyle w:val="Grilledutableau"/>
        <w:tblW w:w="12722" w:type="dxa"/>
        <w:jc w:val="center"/>
        <w:tblLayout w:type="fixed"/>
        <w:tblLook w:val="04A0" w:firstRow="1" w:lastRow="0" w:firstColumn="1" w:lastColumn="0" w:noHBand="0" w:noVBand="1"/>
      </w:tblPr>
      <w:tblGrid>
        <w:gridCol w:w="1129"/>
        <w:gridCol w:w="3231"/>
        <w:gridCol w:w="1984"/>
        <w:gridCol w:w="1276"/>
        <w:gridCol w:w="2551"/>
        <w:gridCol w:w="2551"/>
      </w:tblGrid>
      <w:tr w:rsidR="006E1548" w:rsidRPr="00DA6750" w:rsidTr="007E1D5A">
        <w:trPr>
          <w:jc w:val="center"/>
        </w:trPr>
        <w:tc>
          <w:tcPr>
            <w:tcW w:w="1129" w:type="dxa"/>
            <w:vAlign w:val="center"/>
          </w:tcPr>
          <w:p w:rsidR="006E1548" w:rsidRPr="00DA6750" w:rsidRDefault="006E1548" w:rsidP="007E1D5A">
            <w:pPr>
              <w:jc w:val="center"/>
              <w:rPr>
                <w:b/>
                <w:sz w:val="18"/>
                <w:szCs w:val="18"/>
              </w:rPr>
            </w:pPr>
            <w:r w:rsidRPr="00DA6750">
              <w:rPr>
                <w:b/>
                <w:sz w:val="18"/>
                <w:szCs w:val="18"/>
              </w:rPr>
              <w:lastRenderedPageBreak/>
              <w:t>Catégorie de PSL</w:t>
            </w:r>
          </w:p>
        </w:tc>
        <w:tc>
          <w:tcPr>
            <w:tcW w:w="3231" w:type="dxa"/>
            <w:vAlign w:val="center"/>
          </w:tcPr>
          <w:p w:rsidR="006E1548" w:rsidRPr="00DA6750" w:rsidRDefault="006E1548" w:rsidP="007E1D5A">
            <w:pPr>
              <w:jc w:val="center"/>
              <w:rPr>
                <w:b/>
                <w:sz w:val="18"/>
                <w:szCs w:val="18"/>
              </w:rPr>
            </w:pPr>
            <w:r w:rsidRPr="00DA6750">
              <w:rPr>
                <w:b/>
                <w:sz w:val="18"/>
                <w:szCs w:val="18"/>
              </w:rPr>
              <w:t>Type de prestation proposée</w:t>
            </w:r>
          </w:p>
        </w:tc>
        <w:tc>
          <w:tcPr>
            <w:tcW w:w="1984" w:type="dxa"/>
            <w:vAlign w:val="center"/>
          </w:tcPr>
          <w:p w:rsidR="006E1548" w:rsidRPr="00DA6750" w:rsidRDefault="006E1548" w:rsidP="007E1D5A">
            <w:pPr>
              <w:spacing w:before="120" w:after="120"/>
              <w:jc w:val="center"/>
              <w:rPr>
                <w:b/>
                <w:sz w:val="18"/>
                <w:szCs w:val="18"/>
              </w:rPr>
            </w:pPr>
            <w:r w:rsidRPr="00DA6750">
              <w:rPr>
                <w:b/>
                <w:sz w:val="18"/>
                <w:szCs w:val="18"/>
              </w:rPr>
              <w:t>Rôle du PSL</w:t>
            </w:r>
          </w:p>
        </w:tc>
        <w:tc>
          <w:tcPr>
            <w:tcW w:w="1276" w:type="dxa"/>
            <w:vAlign w:val="center"/>
          </w:tcPr>
          <w:p w:rsidR="006E1548" w:rsidRPr="00DA6750" w:rsidRDefault="006E1548" w:rsidP="007E1D5A">
            <w:pPr>
              <w:spacing w:before="120" w:after="120"/>
              <w:jc w:val="center"/>
              <w:rPr>
                <w:b/>
                <w:sz w:val="18"/>
                <w:szCs w:val="18"/>
              </w:rPr>
            </w:pPr>
            <w:r w:rsidRPr="00DA6750">
              <w:rPr>
                <w:b/>
                <w:sz w:val="18"/>
                <w:szCs w:val="18"/>
              </w:rPr>
              <w:t>PSL dans le thermo dirigé</w:t>
            </w:r>
          </w:p>
        </w:tc>
        <w:tc>
          <w:tcPr>
            <w:tcW w:w="2551" w:type="dxa"/>
            <w:vAlign w:val="center"/>
          </w:tcPr>
          <w:p w:rsidR="006E1548" w:rsidRPr="00DA6750" w:rsidRDefault="006E1548" w:rsidP="007E1D5A">
            <w:pPr>
              <w:spacing w:before="120" w:after="120"/>
              <w:jc w:val="center"/>
              <w:rPr>
                <w:b/>
                <w:sz w:val="18"/>
                <w:szCs w:val="18"/>
              </w:rPr>
            </w:pPr>
            <w:r w:rsidRPr="00DA6750">
              <w:rPr>
                <w:b/>
                <w:sz w:val="18"/>
                <w:szCs w:val="18"/>
              </w:rPr>
              <w:t>Offre proposée dans le thermo dirigé</w:t>
            </w:r>
          </w:p>
        </w:tc>
        <w:tc>
          <w:tcPr>
            <w:tcW w:w="2551" w:type="dxa"/>
            <w:vAlign w:val="center"/>
          </w:tcPr>
          <w:p w:rsidR="006E1548" w:rsidRPr="00DA6750" w:rsidRDefault="006E1548" w:rsidP="007E1D5A">
            <w:pPr>
              <w:spacing w:before="120" w:after="120"/>
              <w:jc w:val="center"/>
              <w:rPr>
                <w:b/>
                <w:sz w:val="18"/>
                <w:szCs w:val="18"/>
              </w:rPr>
            </w:pPr>
            <w:r w:rsidRPr="00DA6750">
              <w:rPr>
                <w:b/>
                <w:sz w:val="18"/>
                <w:szCs w:val="18"/>
              </w:rPr>
              <w:t>Stratégie développée par les PSL dans le thermo dirigé</w:t>
            </w:r>
          </w:p>
        </w:tc>
      </w:tr>
      <w:tr w:rsidR="006E1548" w:rsidRPr="00DA6750" w:rsidTr="007E1D5A">
        <w:trPr>
          <w:jc w:val="center"/>
        </w:trPr>
        <w:tc>
          <w:tcPr>
            <w:tcW w:w="1129" w:type="dxa"/>
            <w:vAlign w:val="center"/>
          </w:tcPr>
          <w:p w:rsidR="006E1548" w:rsidRPr="00DA6750" w:rsidRDefault="006E1548" w:rsidP="007E1D5A">
            <w:pPr>
              <w:jc w:val="center"/>
              <w:rPr>
                <w:b/>
                <w:i/>
                <w:sz w:val="18"/>
                <w:szCs w:val="18"/>
              </w:rPr>
            </w:pPr>
            <w:r w:rsidRPr="00DA6750">
              <w:rPr>
                <w:b/>
                <w:i/>
                <w:sz w:val="18"/>
                <w:szCs w:val="18"/>
              </w:rPr>
              <w:t>1PL</w:t>
            </w:r>
          </w:p>
          <w:p w:rsidR="006E1548" w:rsidRPr="00DA6750" w:rsidRDefault="006E1548" w:rsidP="007E1D5A">
            <w:pPr>
              <w:jc w:val="center"/>
              <w:rPr>
                <w:b/>
                <w:sz w:val="18"/>
                <w:szCs w:val="18"/>
              </w:rPr>
            </w:pPr>
            <w:r w:rsidRPr="00DA6750">
              <w:rPr>
                <w:b/>
                <w:i/>
                <w:sz w:val="18"/>
                <w:szCs w:val="18"/>
              </w:rPr>
              <w:t>(first party logistics)</w:t>
            </w:r>
          </w:p>
        </w:tc>
        <w:tc>
          <w:tcPr>
            <w:tcW w:w="3231" w:type="dxa"/>
            <w:vAlign w:val="center"/>
          </w:tcPr>
          <w:p w:rsidR="006E1548" w:rsidRPr="00DA6750" w:rsidRDefault="006E1548" w:rsidP="007E1D5A">
            <w:pPr>
              <w:rPr>
                <w:sz w:val="18"/>
                <w:szCs w:val="18"/>
              </w:rPr>
            </w:pPr>
            <w:r w:rsidRPr="00DA6750">
              <w:rPr>
                <w:sz w:val="18"/>
                <w:szCs w:val="18"/>
              </w:rPr>
              <w:t>Prestations « basiques » : transport ou entreposage.</w:t>
            </w:r>
          </w:p>
        </w:tc>
        <w:tc>
          <w:tcPr>
            <w:tcW w:w="1984" w:type="dxa"/>
            <w:vAlign w:val="center"/>
          </w:tcPr>
          <w:p w:rsidR="006E1548" w:rsidRPr="00DA6750" w:rsidRDefault="006E1548" w:rsidP="007E1D5A">
            <w:pPr>
              <w:rPr>
                <w:sz w:val="18"/>
                <w:szCs w:val="18"/>
              </w:rPr>
            </w:pPr>
            <w:r w:rsidRPr="00DA6750">
              <w:rPr>
                <w:sz w:val="18"/>
                <w:szCs w:val="18"/>
              </w:rPr>
              <w:t>Simple exécution d’opérations liées au transport ou à l’entreposage.</w:t>
            </w:r>
          </w:p>
        </w:tc>
        <w:tc>
          <w:tcPr>
            <w:tcW w:w="1276" w:type="dxa"/>
            <w:vMerge w:val="restart"/>
            <w:vAlign w:val="center"/>
          </w:tcPr>
          <w:p w:rsidR="006E1548" w:rsidRPr="00DA6750" w:rsidRDefault="006E1548" w:rsidP="007E1D5A">
            <w:pPr>
              <w:spacing w:before="120" w:after="120"/>
              <w:rPr>
                <w:sz w:val="18"/>
                <w:szCs w:val="18"/>
              </w:rPr>
            </w:pPr>
            <w:r w:rsidRPr="00DA6750">
              <w:rPr>
                <w:sz w:val="18"/>
                <w:szCs w:val="18"/>
              </w:rPr>
              <w:t>PSL locaux</w:t>
            </w:r>
          </w:p>
          <w:p w:rsidR="006E1548" w:rsidRPr="00DA6750" w:rsidRDefault="006E1548" w:rsidP="007E1D5A">
            <w:pPr>
              <w:spacing w:before="120" w:after="120"/>
              <w:rPr>
                <w:sz w:val="18"/>
                <w:szCs w:val="18"/>
              </w:rPr>
            </w:pPr>
          </w:p>
        </w:tc>
        <w:tc>
          <w:tcPr>
            <w:tcW w:w="2551" w:type="dxa"/>
            <w:vMerge w:val="restart"/>
            <w:vAlign w:val="center"/>
          </w:tcPr>
          <w:p w:rsidR="006E1548" w:rsidRPr="00DA6750" w:rsidRDefault="006E1548" w:rsidP="007E1D5A">
            <w:pPr>
              <w:spacing w:before="120" w:after="120"/>
              <w:rPr>
                <w:sz w:val="18"/>
                <w:szCs w:val="18"/>
              </w:rPr>
            </w:pPr>
            <w:r w:rsidRPr="00DA6750">
              <w:rPr>
                <w:sz w:val="18"/>
                <w:szCs w:val="18"/>
              </w:rPr>
              <w:t xml:space="preserve">Activités de ramassage et de distribution locale voire nationale en alimentant les réseaux des groupes spécialisés leaders du marché, </w:t>
            </w:r>
          </w:p>
        </w:tc>
        <w:tc>
          <w:tcPr>
            <w:tcW w:w="2551" w:type="dxa"/>
            <w:vMerge w:val="restart"/>
            <w:vAlign w:val="center"/>
          </w:tcPr>
          <w:p w:rsidR="006E1548" w:rsidRPr="00DA6750" w:rsidRDefault="006E1548" w:rsidP="007E1D5A">
            <w:pPr>
              <w:spacing w:before="120" w:after="120"/>
              <w:rPr>
                <w:b/>
                <w:sz w:val="18"/>
                <w:szCs w:val="18"/>
              </w:rPr>
            </w:pPr>
            <w:r w:rsidRPr="00DA6750">
              <w:rPr>
                <w:sz w:val="18"/>
                <w:szCs w:val="18"/>
              </w:rPr>
              <w:t>Maitrise de tournées de ramassage locale, réactivité et flexibilité pour répondre aux clients utilisant leurs services</w:t>
            </w:r>
          </w:p>
        </w:tc>
      </w:tr>
      <w:tr w:rsidR="006E1548" w:rsidRPr="00DA6750" w:rsidTr="007E1D5A">
        <w:trPr>
          <w:jc w:val="center"/>
        </w:trPr>
        <w:tc>
          <w:tcPr>
            <w:tcW w:w="1129" w:type="dxa"/>
            <w:vAlign w:val="center"/>
          </w:tcPr>
          <w:p w:rsidR="006E1548" w:rsidRPr="00DA6750" w:rsidRDefault="006E1548" w:rsidP="007E1D5A">
            <w:pPr>
              <w:jc w:val="center"/>
              <w:rPr>
                <w:b/>
                <w:i/>
                <w:sz w:val="18"/>
                <w:szCs w:val="18"/>
              </w:rPr>
            </w:pPr>
            <w:r w:rsidRPr="00DA6750">
              <w:rPr>
                <w:b/>
                <w:i/>
                <w:sz w:val="18"/>
                <w:szCs w:val="18"/>
              </w:rPr>
              <w:t>2PL</w:t>
            </w:r>
          </w:p>
          <w:p w:rsidR="006E1548" w:rsidRPr="00DA6750" w:rsidRDefault="006E1548" w:rsidP="007E1D5A">
            <w:pPr>
              <w:jc w:val="center"/>
              <w:rPr>
                <w:b/>
                <w:sz w:val="18"/>
                <w:szCs w:val="18"/>
              </w:rPr>
            </w:pPr>
            <w:r w:rsidRPr="00DA6750">
              <w:rPr>
                <w:b/>
                <w:i/>
                <w:sz w:val="18"/>
                <w:szCs w:val="18"/>
              </w:rPr>
              <w:t>(second party logistics)</w:t>
            </w:r>
          </w:p>
        </w:tc>
        <w:tc>
          <w:tcPr>
            <w:tcW w:w="3231" w:type="dxa"/>
            <w:vAlign w:val="center"/>
          </w:tcPr>
          <w:p w:rsidR="006E1548" w:rsidRPr="00DA6750" w:rsidRDefault="006E1548" w:rsidP="007E1D5A">
            <w:pPr>
              <w:rPr>
                <w:b/>
                <w:sz w:val="18"/>
                <w:szCs w:val="18"/>
              </w:rPr>
            </w:pPr>
            <w:r w:rsidRPr="00DA6750">
              <w:rPr>
                <w:sz w:val="18"/>
                <w:szCs w:val="18"/>
              </w:rPr>
              <w:t>Prestations « basiques » : transport et entreposage.</w:t>
            </w:r>
          </w:p>
        </w:tc>
        <w:tc>
          <w:tcPr>
            <w:tcW w:w="1984" w:type="dxa"/>
            <w:vAlign w:val="center"/>
          </w:tcPr>
          <w:p w:rsidR="006E1548" w:rsidRPr="00DA6750" w:rsidRDefault="006E1548" w:rsidP="007E1D5A">
            <w:pPr>
              <w:rPr>
                <w:sz w:val="18"/>
                <w:szCs w:val="18"/>
              </w:rPr>
            </w:pPr>
            <w:r w:rsidRPr="00DA6750">
              <w:rPr>
                <w:sz w:val="18"/>
                <w:szCs w:val="18"/>
              </w:rPr>
              <w:t>Simple exécution d’opérations liées au transport et à l’entreposage</w:t>
            </w:r>
          </w:p>
        </w:tc>
        <w:tc>
          <w:tcPr>
            <w:tcW w:w="1276" w:type="dxa"/>
            <w:vMerge/>
          </w:tcPr>
          <w:p w:rsidR="006E1548" w:rsidRPr="00DA6750" w:rsidRDefault="006E1548" w:rsidP="007E1D5A">
            <w:pPr>
              <w:spacing w:before="120" w:after="120"/>
              <w:jc w:val="both"/>
              <w:rPr>
                <w:sz w:val="18"/>
                <w:szCs w:val="18"/>
              </w:rPr>
            </w:pPr>
          </w:p>
        </w:tc>
        <w:tc>
          <w:tcPr>
            <w:tcW w:w="2551" w:type="dxa"/>
            <w:vMerge/>
          </w:tcPr>
          <w:p w:rsidR="006E1548" w:rsidRPr="00DA6750" w:rsidRDefault="006E1548" w:rsidP="007E1D5A">
            <w:pPr>
              <w:spacing w:before="120" w:after="120"/>
              <w:jc w:val="both"/>
              <w:rPr>
                <w:b/>
                <w:sz w:val="18"/>
                <w:szCs w:val="18"/>
              </w:rPr>
            </w:pPr>
          </w:p>
        </w:tc>
        <w:tc>
          <w:tcPr>
            <w:tcW w:w="2551" w:type="dxa"/>
            <w:vMerge/>
            <w:vAlign w:val="center"/>
          </w:tcPr>
          <w:p w:rsidR="006E1548" w:rsidRPr="00DA6750" w:rsidRDefault="006E1548" w:rsidP="007E1D5A">
            <w:pPr>
              <w:spacing w:before="120" w:after="120"/>
              <w:rPr>
                <w:b/>
                <w:sz w:val="18"/>
                <w:szCs w:val="18"/>
              </w:rPr>
            </w:pPr>
          </w:p>
        </w:tc>
      </w:tr>
      <w:tr w:rsidR="006E1548" w:rsidRPr="00DA6750" w:rsidTr="007E1D5A">
        <w:trPr>
          <w:jc w:val="center"/>
        </w:trPr>
        <w:tc>
          <w:tcPr>
            <w:tcW w:w="1129" w:type="dxa"/>
            <w:vAlign w:val="center"/>
          </w:tcPr>
          <w:p w:rsidR="006E1548" w:rsidRPr="00DA6750" w:rsidRDefault="006E1548" w:rsidP="007E1D5A">
            <w:pPr>
              <w:jc w:val="center"/>
              <w:rPr>
                <w:b/>
                <w:i/>
                <w:sz w:val="18"/>
                <w:szCs w:val="18"/>
              </w:rPr>
            </w:pPr>
            <w:r w:rsidRPr="00DA6750">
              <w:rPr>
                <w:b/>
                <w:i/>
                <w:sz w:val="18"/>
                <w:szCs w:val="18"/>
              </w:rPr>
              <w:t>3PL</w:t>
            </w:r>
          </w:p>
          <w:p w:rsidR="006E1548" w:rsidRPr="00DA6750" w:rsidRDefault="006E1548" w:rsidP="007E1D5A">
            <w:pPr>
              <w:jc w:val="center"/>
              <w:rPr>
                <w:b/>
                <w:sz w:val="18"/>
                <w:szCs w:val="18"/>
              </w:rPr>
            </w:pPr>
            <w:r w:rsidRPr="00DA6750">
              <w:rPr>
                <w:b/>
                <w:i/>
                <w:sz w:val="18"/>
                <w:szCs w:val="18"/>
              </w:rPr>
              <w:t>(third party logistics)</w:t>
            </w:r>
          </w:p>
        </w:tc>
        <w:tc>
          <w:tcPr>
            <w:tcW w:w="3231" w:type="dxa"/>
            <w:vAlign w:val="center"/>
          </w:tcPr>
          <w:p w:rsidR="006E1548" w:rsidRPr="00DA6750" w:rsidRDefault="006E1548" w:rsidP="007E1D5A">
            <w:pPr>
              <w:rPr>
                <w:sz w:val="18"/>
                <w:szCs w:val="18"/>
              </w:rPr>
            </w:pPr>
            <w:r w:rsidRPr="00DA6750">
              <w:rPr>
                <w:sz w:val="18"/>
                <w:szCs w:val="18"/>
              </w:rPr>
              <w:t>Prestations « basiques » : transport ou entreposage.</w:t>
            </w:r>
          </w:p>
          <w:p w:rsidR="006E1548" w:rsidRPr="00DA6750" w:rsidRDefault="006E1548" w:rsidP="007E1D5A">
            <w:pPr>
              <w:rPr>
                <w:sz w:val="18"/>
                <w:szCs w:val="18"/>
              </w:rPr>
            </w:pPr>
            <w:r w:rsidRPr="00DA6750">
              <w:rPr>
                <w:sz w:val="18"/>
                <w:szCs w:val="18"/>
              </w:rPr>
              <w:t xml:space="preserve">Prestations à valeur ajoutée : des activités à caractère commercial (service après-vente, </w:t>
            </w:r>
            <w:r w:rsidRPr="00DA6750">
              <w:rPr>
                <w:i/>
                <w:sz w:val="18"/>
                <w:szCs w:val="18"/>
              </w:rPr>
              <w:t>etc</w:t>
            </w:r>
            <w:r w:rsidRPr="00DA6750">
              <w:rPr>
                <w:sz w:val="18"/>
                <w:szCs w:val="18"/>
              </w:rPr>
              <w:t>.), industriel (différenciation retardée,</w:t>
            </w:r>
            <w:r w:rsidRPr="00DA6750">
              <w:rPr>
                <w:i/>
                <w:sz w:val="18"/>
                <w:szCs w:val="18"/>
              </w:rPr>
              <w:t xml:space="preserve"> etc.</w:t>
            </w:r>
            <w:r w:rsidRPr="00DA6750">
              <w:rPr>
                <w:sz w:val="18"/>
                <w:szCs w:val="18"/>
              </w:rPr>
              <w:t>), administratif (douanes,</w:t>
            </w:r>
            <w:r w:rsidRPr="00DA6750">
              <w:rPr>
                <w:i/>
                <w:sz w:val="18"/>
                <w:szCs w:val="18"/>
              </w:rPr>
              <w:t xml:space="preserve"> etc</w:t>
            </w:r>
            <w:r w:rsidRPr="00DA6750">
              <w:rPr>
                <w:sz w:val="18"/>
                <w:szCs w:val="18"/>
              </w:rPr>
              <w:t>.) ou informationnel (traçabilité produit et traçabilité logistique).</w:t>
            </w:r>
          </w:p>
        </w:tc>
        <w:tc>
          <w:tcPr>
            <w:tcW w:w="1984" w:type="dxa"/>
            <w:vAlign w:val="center"/>
          </w:tcPr>
          <w:p w:rsidR="006E1548" w:rsidRPr="00DA6750" w:rsidRDefault="006E1548" w:rsidP="007E1D5A">
            <w:pPr>
              <w:rPr>
                <w:sz w:val="18"/>
                <w:szCs w:val="18"/>
              </w:rPr>
            </w:pPr>
            <w:r w:rsidRPr="00DA6750">
              <w:rPr>
                <w:sz w:val="18"/>
                <w:szCs w:val="18"/>
              </w:rPr>
              <w:t>Exécution d’opérations logistiques.</w:t>
            </w:r>
          </w:p>
          <w:p w:rsidR="006E1548" w:rsidRPr="00DA6750" w:rsidRDefault="006E1548" w:rsidP="007E1D5A">
            <w:pPr>
              <w:rPr>
                <w:sz w:val="18"/>
                <w:szCs w:val="18"/>
              </w:rPr>
            </w:pPr>
            <w:r w:rsidRPr="00DA6750">
              <w:rPr>
                <w:sz w:val="18"/>
                <w:szCs w:val="18"/>
              </w:rPr>
              <w:t>Intégration de services à valeur ajoutée </w:t>
            </w:r>
          </w:p>
        </w:tc>
        <w:tc>
          <w:tcPr>
            <w:tcW w:w="1276" w:type="dxa"/>
            <w:vAlign w:val="center"/>
          </w:tcPr>
          <w:p w:rsidR="006E1548" w:rsidRPr="00DA6750" w:rsidRDefault="006E1548" w:rsidP="007E1D5A">
            <w:pPr>
              <w:spacing w:before="120" w:after="120"/>
              <w:rPr>
                <w:sz w:val="18"/>
                <w:szCs w:val="18"/>
              </w:rPr>
            </w:pPr>
            <w:r w:rsidRPr="00DA6750">
              <w:rPr>
                <w:sz w:val="18"/>
                <w:szCs w:val="18"/>
              </w:rPr>
              <w:t xml:space="preserve">PSL régionaux </w:t>
            </w:r>
          </w:p>
          <w:p w:rsidR="006E1548" w:rsidRPr="00DA6750" w:rsidRDefault="006E1548" w:rsidP="007E1D5A">
            <w:pPr>
              <w:spacing w:before="120" w:after="120"/>
              <w:rPr>
                <w:sz w:val="18"/>
                <w:szCs w:val="18"/>
              </w:rPr>
            </w:pPr>
            <w:r w:rsidRPr="00DA6750">
              <w:rPr>
                <w:sz w:val="18"/>
                <w:szCs w:val="18"/>
              </w:rPr>
              <w:t xml:space="preserve">(Mesguen, Antoine, </w:t>
            </w:r>
            <w:r w:rsidRPr="00DA6750">
              <w:rPr>
                <w:i/>
                <w:sz w:val="18"/>
                <w:szCs w:val="18"/>
              </w:rPr>
              <w:t>etc.</w:t>
            </w:r>
            <w:r w:rsidRPr="00DA6750">
              <w:rPr>
                <w:sz w:val="18"/>
                <w:szCs w:val="18"/>
              </w:rPr>
              <w:t>)</w:t>
            </w:r>
          </w:p>
        </w:tc>
        <w:tc>
          <w:tcPr>
            <w:tcW w:w="2551" w:type="dxa"/>
            <w:vAlign w:val="center"/>
          </w:tcPr>
          <w:p w:rsidR="006E1548" w:rsidRPr="00DA6750" w:rsidRDefault="006E1548" w:rsidP="007E1D5A">
            <w:pPr>
              <w:spacing w:before="120" w:after="120"/>
              <w:rPr>
                <w:sz w:val="18"/>
                <w:szCs w:val="18"/>
              </w:rPr>
            </w:pPr>
            <w:r w:rsidRPr="00DA6750">
              <w:rPr>
                <w:sz w:val="18"/>
                <w:szCs w:val="18"/>
              </w:rPr>
              <w:t xml:space="preserve">Focalisation géographique sur certains chemins logistiques en direction des principaux bassins de consommation </w:t>
            </w:r>
          </w:p>
          <w:p w:rsidR="006E1548" w:rsidRPr="00DA6750" w:rsidRDefault="006E1548" w:rsidP="007E1D5A">
            <w:pPr>
              <w:spacing w:before="120" w:after="120"/>
              <w:rPr>
                <w:b/>
                <w:sz w:val="18"/>
                <w:szCs w:val="18"/>
              </w:rPr>
            </w:pPr>
            <w:r w:rsidRPr="00DA6750">
              <w:rPr>
                <w:sz w:val="18"/>
                <w:szCs w:val="18"/>
              </w:rPr>
              <w:t xml:space="preserve">Spécialisation sur quelques segments dans leur bassin d’activité (produits de la mer sur le littoral, </w:t>
            </w:r>
            <w:r w:rsidRPr="00DA6750">
              <w:rPr>
                <w:i/>
                <w:sz w:val="18"/>
                <w:szCs w:val="18"/>
              </w:rPr>
              <w:t>etc</w:t>
            </w:r>
            <w:r w:rsidRPr="00DA6750">
              <w:rPr>
                <w:sz w:val="18"/>
                <w:szCs w:val="18"/>
              </w:rPr>
              <w:t>.) </w:t>
            </w:r>
          </w:p>
        </w:tc>
        <w:tc>
          <w:tcPr>
            <w:tcW w:w="2551" w:type="dxa"/>
            <w:vAlign w:val="center"/>
          </w:tcPr>
          <w:p w:rsidR="006E1548" w:rsidRPr="00DA6750" w:rsidRDefault="006E1548" w:rsidP="007E1D5A">
            <w:pPr>
              <w:spacing w:before="120" w:after="120"/>
              <w:rPr>
                <w:b/>
                <w:sz w:val="18"/>
                <w:szCs w:val="18"/>
              </w:rPr>
            </w:pPr>
            <w:r w:rsidRPr="00DA6750">
              <w:rPr>
                <w:sz w:val="18"/>
                <w:szCs w:val="18"/>
              </w:rPr>
              <w:t xml:space="preserve">Construire une offre dédiée : maîtrise de certaines tournées, qualité relationnelle privilégiée, </w:t>
            </w:r>
            <w:r w:rsidRPr="00DA6750">
              <w:rPr>
                <w:i/>
                <w:sz w:val="18"/>
                <w:szCs w:val="18"/>
              </w:rPr>
              <w:t>etc</w:t>
            </w:r>
            <w:r w:rsidRPr="00DA6750">
              <w:rPr>
                <w:sz w:val="18"/>
                <w:szCs w:val="18"/>
              </w:rPr>
              <w:t>.</w:t>
            </w:r>
          </w:p>
        </w:tc>
      </w:tr>
      <w:tr w:rsidR="006E1548" w:rsidRPr="00DA6750" w:rsidTr="007E1D5A">
        <w:trPr>
          <w:trHeight w:val="3201"/>
          <w:jc w:val="center"/>
        </w:trPr>
        <w:tc>
          <w:tcPr>
            <w:tcW w:w="1129" w:type="dxa"/>
            <w:vAlign w:val="center"/>
          </w:tcPr>
          <w:p w:rsidR="006E1548" w:rsidRPr="00DA6750" w:rsidRDefault="006E1548" w:rsidP="007E1D5A">
            <w:pPr>
              <w:jc w:val="center"/>
              <w:rPr>
                <w:b/>
                <w:i/>
                <w:sz w:val="18"/>
                <w:szCs w:val="18"/>
              </w:rPr>
            </w:pPr>
            <w:r w:rsidRPr="00DA6750">
              <w:rPr>
                <w:b/>
                <w:i/>
                <w:sz w:val="18"/>
                <w:szCs w:val="18"/>
              </w:rPr>
              <w:t>4PL</w:t>
            </w:r>
          </w:p>
          <w:p w:rsidR="006E1548" w:rsidRPr="00DA6750" w:rsidRDefault="006E1548" w:rsidP="007E1D5A">
            <w:pPr>
              <w:jc w:val="center"/>
              <w:rPr>
                <w:b/>
                <w:sz w:val="18"/>
                <w:szCs w:val="18"/>
              </w:rPr>
            </w:pPr>
            <w:r w:rsidRPr="00DA6750">
              <w:rPr>
                <w:b/>
                <w:i/>
                <w:sz w:val="18"/>
                <w:szCs w:val="18"/>
              </w:rPr>
              <w:t>(fourth party logistics)</w:t>
            </w:r>
          </w:p>
        </w:tc>
        <w:tc>
          <w:tcPr>
            <w:tcW w:w="3231" w:type="dxa"/>
            <w:vAlign w:val="center"/>
          </w:tcPr>
          <w:p w:rsidR="006E1548" w:rsidRPr="00DA6750" w:rsidRDefault="006E1548" w:rsidP="007E1D5A">
            <w:pPr>
              <w:rPr>
                <w:sz w:val="18"/>
                <w:szCs w:val="18"/>
              </w:rPr>
            </w:pPr>
            <w:r w:rsidRPr="00DA6750">
              <w:rPr>
                <w:sz w:val="18"/>
                <w:szCs w:val="18"/>
              </w:rPr>
              <w:t xml:space="preserve">Prestations logistiques globales et sur mesure à caractère informationnel </w:t>
            </w:r>
          </w:p>
        </w:tc>
        <w:tc>
          <w:tcPr>
            <w:tcW w:w="1984" w:type="dxa"/>
            <w:vAlign w:val="center"/>
          </w:tcPr>
          <w:p w:rsidR="006E1548" w:rsidRPr="00DA6750" w:rsidRDefault="006E1548" w:rsidP="007E1D5A">
            <w:pPr>
              <w:spacing w:before="120" w:after="120"/>
              <w:rPr>
                <w:b/>
                <w:sz w:val="18"/>
                <w:szCs w:val="18"/>
              </w:rPr>
            </w:pPr>
            <w:r w:rsidRPr="00DA6750">
              <w:rPr>
                <w:sz w:val="18"/>
                <w:szCs w:val="18"/>
              </w:rPr>
              <w:t xml:space="preserve">Concepteur de schémas logistiques et de systèmes d’information </w:t>
            </w:r>
          </w:p>
        </w:tc>
        <w:tc>
          <w:tcPr>
            <w:tcW w:w="1276" w:type="dxa"/>
            <w:vAlign w:val="center"/>
          </w:tcPr>
          <w:p w:rsidR="006E1548" w:rsidRPr="00DA6750" w:rsidRDefault="006E1548" w:rsidP="007E1D5A">
            <w:pPr>
              <w:spacing w:before="120" w:after="120"/>
              <w:rPr>
                <w:sz w:val="18"/>
                <w:szCs w:val="18"/>
              </w:rPr>
            </w:pPr>
            <w:r w:rsidRPr="00DA6750">
              <w:rPr>
                <w:sz w:val="18"/>
                <w:szCs w:val="18"/>
              </w:rPr>
              <w:t xml:space="preserve">Des groupes spécialisés dans le froid (STEF, STG, </w:t>
            </w:r>
            <w:r w:rsidRPr="00DA6750">
              <w:rPr>
                <w:i/>
                <w:sz w:val="18"/>
                <w:szCs w:val="18"/>
              </w:rPr>
              <w:t>etc.</w:t>
            </w:r>
            <w:r w:rsidRPr="00DA6750">
              <w:rPr>
                <w:sz w:val="18"/>
                <w:szCs w:val="18"/>
              </w:rPr>
              <w:t>)</w:t>
            </w:r>
          </w:p>
          <w:p w:rsidR="006E1548" w:rsidRPr="00DA6750" w:rsidRDefault="006E1548" w:rsidP="007E1D5A">
            <w:pPr>
              <w:spacing w:before="120" w:after="120"/>
              <w:rPr>
                <w:sz w:val="18"/>
                <w:szCs w:val="18"/>
              </w:rPr>
            </w:pPr>
            <w:r w:rsidRPr="00DA6750">
              <w:rPr>
                <w:sz w:val="18"/>
                <w:szCs w:val="18"/>
              </w:rPr>
              <w:t>Des généralistes (XPO, Khuene et Nagel</w:t>
            </w:r>
            <w:r w:rsidRPr="00DA6750">
              <w:rPr>
                <w:i/>
                <w:sz w:val="18"/>
                <w:szCs w:val="18"/>
              </w:rPr>
              <w:t>, etc</w:t>
            </w:r>
            <w:r w:rsidRPr="00DA6750">
              <w:rPr>
                <w:sz w:val="18"/>
                <w:szCs w:val="18"/>
              </w:rPr>
              <w:t>.)</w:t>
            </w:r>
          </w:p>
        </w:tc>
        <w:tc>
          <w:tcPr>
            <w:tcW w:w="2551" w:type="dxa"/>
            <w:vAlign w:val="center"/>
          </w:tcPr>
          <w:p w:rsidR="006E1548" w:rsidRPr="00DA6750" w:rsidRDefault="006E1548" w:rsidP="007E1D5A">
            <w:pPr>
              <w:spacing w:before="120" w:after="120"/>
              <w:rPr>
                <w:i/>
                <w:sz w:val="18"/>
                <w:szCs w:val="18"/>
              </w:rPr>
            </w:pPr>
            <w:r w:rsidRPr="00DA6750">
              <w:rPr>
                <w:sz w:val="18"/>
                <w:szCs w:val="18"/>
              </w:rPr>
              <w:t>Proposition d’une offre globale : possession de réseaux denses, ramasses, massification, livraisons nationales voire internationales,</w:t>
            </w:r>
            <w:r w:rsidRPr="00DA6750">
              <w:rPr>
                <w:i/>
                <w:sz w:val="18"/>
                <w:szCs w:val="18"/>
              </w:rPr>
              <w:t xml:space="preserve"> etc</w:t>
            </w:r>
          </w:p>
          <w:p w:rsidR="006E1548" w:rsidRPr="00DA6750" w:rsidRDefault="006E1548" w:rsidP="007E1D5A">
            <w:pPr>
              <w:spacing w:before="120" w:after="120"/>
              <w:rPr>
                <w:sz w:val="18"/>
                <w:szCs w:val="18"/>
              </w:rPr>
            </w:pPr>
            <w:r w:rsidRPr="00DA6750">
              <w:rPr>
                <w:sz w:val="18"/>
                <w:szCs w:val="18"/>
              </w:rPr>
              <w:t>Proposition d’entrepôts multi-formats de magasins, multi-températures, d’entrepôts dédiés à un client.</w:t>
            </w:r>
          </w:p>
          <w:p w:rsidR="006E1548" w:rsidRPr="00DA6750" w:rsidRDefault="006E1548" w:rsidP="007E1D5A">
            <w:pPr>
              <w:spacing w:before="120" w:after="120"/>
              <w:rPr>
                <w:b/>
                <w:sz w:val="18"/>
                <w:szCs w:val="18"/>
              </w:rPr>
            </w:pPr>
            <w:r w:rsidRPr="00DA6750">
              <w:rPr>
                <w:sz w:val="18"/>
                <w:szCs w:val="18"/>
              </w:rPr>
              <w:t>Mises en place de solutions de traçabilité</w:t>
            </w:r>
          </w:p>
        </w:tc>
        <w:tc>
          <w:tcPr>
            <w:tcW w:w="2551" w:type="dxa"/>
            <w:vAlign w:val="center"/>
          </w:tcPr>
          <w:p w:rsidR="006E1548" w:rsidRPr="00DA6750" w:rsidRDefault="006E1548" w:rsidP="007E1D5A">
            <w:pPr>
              <w:spacing w:before="120" w:after="120"/>
              <w:rPr>
                <w:sz w:val="18"/>
                <w:szCs w:val="18"/>
              </w:rPr>
            </w:pPr>
            <w:r w:rsidRPr="00DA6750">
              <w:rPr>
                <w:sz w:val="18"/>
                <w:szCs w:val="18"/>
              </w:rPr>
              <w:t>- Standardiser les solutions logistiques proposées en s’appuyant sur les systèmes d’information.</w:t>
            </w:r>
          </w:p>
          <w:p w:rsidR="006E1548" w:rsidRPr="00DA6750" w:rsidRDefault="006E1548" w:rsidP="007E1D5A">
            <w:pPr>
              <w:spacing w:before="120" w:after="120"/>
              <w:rPr>
                <w:sz w:val="18"/>
                <w:szCs w:val="18"/>
              </w:rPr>
            </w:pPr>
            <w:r w:rsidRPr="00DA6750">
              <w:rPr>
                <w:sz w:val="18"/>
                <w:szCs w:val="18"/>
              </w:rPr>
              <w:t>- Développement sur les différents métiers du froid pour les spécialistes ; Développement du e-commerce alimentaire et d’activités de logistique urbaine</w:t>
            </w:r>
          </w:p>
          <w:p w:rsidR="006E1548" w:rsidRPr="00DA6750" w:rsidRDefault="006E1548" w:rsidP="007E1D5A">
            <w:pPr>
              <w:spacing w:before="120" w:after="120"/>
              <w:rPr>
                <w:sz w:val="18"/>
                <w:szCs w:val="18"/>
              </w:rPr>
            </w:pPr>
            <w:r w:rsidRPr="00DA6750">
              <w:rPr>
                <w:sz w:val="18"/>
                <w:szCs w:val="18"/>
              </w:rPr>
              <w:t>- Stratégie de diversification pour les généralistes</w:t>
            </w:r>
          </w:p>
        </w:tc>
      </w:tr>
    </w:tbl>
    <w:p w:rsidR="006E1548" w:rsidRDefault="006E1548" w:rsidP="00281482">
      <w:pPr>
        <w:spacing w:before="120" w:line="480" w:lineRule="auto"/>
        <w:jc w:val="center"/>
        <w:rPr>
          <w:b/>
          <w:color w:val="000000" w:themeColor="text1"/>
          <w:szCs w:val="24"/>
        </w:rPr>
      </w:pPr>
    </w:p>
    <w:p w:rsidR="006E1548" w:rsidRPr="00366BF3" w:rsidRDefault="00366BF3" w:rsidP="00281482">
      <w:pPr>
        <w:spacing w:before="120" w:line="480" w:lineRule="auto"/>
        <w:jc w:val="center"/>
        <w:rPr>
          <w:b/>
          <w:color w:val="000000" w:themeColor="text1"/>
          <w:szCs w:val="24"/>
        </w:rPr>
      </w:pPr>
      <w:r w:rsidRPr="00366BF3">
        <w:rPr>
          <w:b/>
          <w:color w:val="000000" w:themeColor="text1"/>
          <w:szCs w:val="24"/>
        </w:rPr>
        <w:t>Tableau n°1 : Catégories de PSL, type de prestation proposée, acteurs et spécificités de la prestation logistique dans le thermo dirigé</w:t>
      </w:r>
    </w:p>
    <w:p w:rsidR="006E1548" w:rsidRDefault="006E1548" w:rsidP="00281482">
      <w:pPr>
        <w:spacing w:before="120" w:after="120" w:line="480" w:lineRule="auto"/>
        <w:jc w:val="both"/>
        <w:rPr>
          <w:b/>
          <w:color w:val="000000" w:themeColor="text1"/>
          <w:szCs w:val="24"/>
        </w:rPr>
        <w:sectPr w:rsidR="006E1548" w:rsidSect="006E1548">
          <w:pgSz w:w="16838" w:h="11906" w:orient="landscape"/>
          <w:pgMar w:top="1417" w:right="1417" w:bottom="1417" w:left="1417" w:header="708" w:footer="708" w:gutter="0"/>
          <w:cols w:space="708"/>
          <w:docGrid w:linePitch="360"/>
        </w:sectPr>
      </w:pPr>
    </w:p>
    <w:p w:rsidR="00024454" w:rsidRPr="00366BF3" w:rsidRDefault="00C5503A" w:rsidP="00281482">
      <w:pPr>
        <w:spacing w:before="120" w:after="120" w:line="480" w:lineRule="auto"/>
        <w:jc w:val="both"/>
        <w:rPr>
          <w:b/>
          <w:color w:val="000000" w:themeColor="text1"/>
          <w:szCs w:val="24"/>
        </w:rPr>
      </w:pPr>
      <w:r w:rsidRPr="00AF5116">
        <w:rPr>
          <w:b/>
          <w:color w:val="000000" w:themeColor="text1"/>
          <w:szCs w:val="24"/>
        </w:rPr>
        <w:lastRenderedPageBreak/>
        <w:t>1</w:t>
      </w:r>
      <w:r w:rsidR="00011518" w:rsidRPr="00AF5116">
        <w:rPr>
          <w:b/>
          <w:color w:val="000000" w:themeColor="text1"/>
          <w:szCs w:val="24"/>
        </w:rPr>
        <w:t>-</w:t>
      </w:r>
      <w:r w:rsidR="00011518" w:rsidRPr="00366BF3">
        <w:rPr>
          <w:b/>
          <w:color w:val="000000" w:themeColor="text1"/>
          <w:szCs w:val="24"/>
        </w:rPr>
        <w:t>3</w:t>
      </w:r>
      <w:r w:rsidRPr="00366BF3">
        <w:rPr>
          <w:b/>
          <w:color w:val="000000" w:themeColor="text1"/>
          <w:szCs w:val="24"/>
        </w:rPr>
        <w:t xml:space="preserve">- </w:t>
      </w:r>
      <w:r w:rsidR="00FF7A94" w:rsidRPr="00366BF3">
        <w:rPr>
          <w:b/>
          <w:color w:val="000000" w:themeColor="text1"/>
          <w:szCs w:val="24"/>
        </w:rPr>
        <w:t>La juste r</w:t>
      </w:r>
      <w:r w:rsidR="006D0802" w:rsidRPr="00366BF3">
        <w:rPr>
          <w:b/>
          <w:color w:val="000000" w:themeColor="text1"/>
          <w:szCs w:val="24"/>
        </w:rPr>
        <w:t xml:space="preserve">elation de service, </w:t>
      </w:r>
      <w:r w:rsidR="00F926E1" w:rsidRPr="00366BF3">
        <w:rPr>
          <w:b/>
          <w:color w:val="000000" w:themeColor="text1"/>
          <w:szCs w:val="24"/>
        </w:rPr>
        <w:t>des formules</w:t>
      </w:r>
      <w:r w:rsidR="006D0802" w:rsidRPr="00366BF3">
        <w:rPr>
          <w:b/>
          <w:color w:val="000000" w:themeColor="text1"/>
          <w:szCs w:val="24"/>
        </w:rPr>
        <w:t xml:space="preserve"> de services</w:t>
      </w:r>
      <w:r w:rsidR="00FF7A94" w:rsidRPr="00366BF3">
        <w:rPr>
          <w:b/>
          <w:color w:val="000000" w:themeColor="text1"/>
          <w:szCs w:val="24"/>
        </w:rPr>
        <w:t xml:space="preserve"> plus personnalisées</w:t>
      </w:r>
      <w:r w:rsidR="006D0802" w:rsidRPr="00366BF3">
        <w:rPr>
          <w:b/>
          <w:color w:val="000000" w:themeColor="text1"/>
          <w:szCs w:val="24"/>
        </w:rPr>
        <w:t xml:space="preserve"> et </w:t>
      </w:r>
      <w:r w:rsidR="00FF7A94" w:rsidRPr="00366BF3">
        <w:rPr>
          <w:b/>
          <w:color w:val="000000" w:themeColor="text1"/>
          <w:szCs w:val="24"/>
        </w:rPr>
        <w:t xml:space="preserve">un </w:t>
      </w:r>
      <w:r w:rsidR="006D0802" w:rsidRPr="00366BF3">
        <w:rPr>
          <w:b/>
          <w:color w:val="000000" w:themeColor="text1"/>
          <w:szCs w:val="24"/>
        </w:rPr>
        <w:t>triangle stratégique des services</w:t>
      </w:r>
      <w:r w:rsidR="00FF7A94" w:rsidRPr="00366BF3">
        <w:rPr>
          <w:b/>
          <w:color w:val="000000" w:themeColor="text1"/>
          <w:szCs w:val="24"/>
        </w:rPr>
        <w:t xml:space="preserve"> mieux maitrisés sont </w:t>
      </w:r>
      <w:r w:rsidR="007F3490" w:rsidRPr="00366BF3">
        <w:rPr>
          <w:b/>
          <w:color w:val="000000" w:themeColor="text1"/>
          <w:szCs w:val="24"/>
        </w:rPr>
        <w:t xml:space="preserve">devenus </w:t>
      </w:r>
      <w:r w:rsidR="00FF7A94" w:rsidRPr="00366BF3">
        <w:rPr>
          <w:b/>
          <w:color w:val="000000" w:themeColor="text1"/>
          <w:szCs w:val="24"/>
        </w:rPr>
        <w:t xml:space="preserve">les </w:t>
      </w:r>
      <w:r w:rsidR="006D0802" w:rsidRPr="00366BF3">
        <w:rPr>
          <w:b/>
          <w:color w:val="000000" w:themeColor="text1"/>
          <w:szCs w:val="24"/>
        </w:rPr>
        <w:t xml:space="preserve">éléments clés </w:t>
      </w:r>
      <w:r w:rsidR="007F3490" w:rsidRPr="00366BF3">
        <w:rPr>
          <w:b/>
          <w:color w:val="000000" w:themeColor="text1"/>
          <w:szCs w:val="24"/>
        </w:rPr>
        <w:t>de</w:t>
      </w:r>
      <w:r w:rsidR="006D0802" w:rsidRPr="00366BF3">
        <w:rPr>
          <w:b/>
          <w:color w:val="000000" w:themeColor="text1"/>
          <w:szCs w:val="24"/>
        </w:rPr>
        <w:t xml:space="preserve"> la construction d’un avantage concurrentiel</w:t>
      </w:r>
      <w:r w:rsidR="007F3490" w:rsidRPr="00366BF3">
        <w:rPr>
          <w:b/>
          <w:color w:val="000000" w:themeColor="text1"/>
          <w:szCs w:val="24"/>
        </w:rPr>
        <w:t xml:space="preserve"> permanent et autonome du PSL</w:t>
      </w:r>
    </w:p>
    <w:p w:rsidR="003E166F" w:rsidRPr="00366BF3" w:rsidRDefault="00C67AAA" w:rsidP="00281482">
      <w:pPr>
        <w:spacing w:before="80" w:after="80" w:line="480" w:lineRule="auto"/>
        <w:jc w:val="both"/>
        <w:rPr>
          <w:color w:val="000000" w:themeColor="text1"/>
          <w:szCs w:val="24"/>
        </w:rPr>
      </w:pPr>
      <w:r w:rsidRPr="00366BF3">
        <w:rPr>
          <w:color w:val="000000" w:themeColor="text1"/>
          <w:szCs w:val="24"/>
        </w:rPr>
        <w:t>Un</w:t>
      </w:r>
      <w:r w:rsidR="00FE3845" w:rsidRPr="00366BF3">
        <w:rPr>
          <w:color w:val="000000" w:themeColor="text1"/>
          <w:szCs w:val="24"/>
        </w:rPr>
        <w:t xml:space="preserve"> service se définit comme un processus spécifique et sans existence autonome mettant face à face un client et un fournisseur durant une phase de commande, de production et de consommation qualifi</w:t>
      </w:r>
      <w:r w:rsidR="00991B7C" w:rsidRPr="00366BF3">
        <w:rPr>
          <w:color w:val="000000" w:themeColor="text1"/>
          <w:szCs w:val="24"/>
        </w:rPr>
        <w:t>ée</w:t>
      </w:r>
      <w:r w:rsidR="00FE3845" w:rsidRPr="00366BF3">
        <w:rPr>
          <w:color w:val="000000" w:themeColor="text1"/>
          <w:szCs w:val="24"/>
        </w:rPr>
        <w:t xml:space="preserve"> de </w:t>
      </w:r>
      <w:r w:rsidR="00FE3845" w:rsidRPr="00366BF3">
        <w:rPr>
          <w:i/>
          <w:color w:val="000000" w:themeColor="text1"/>
          <w:szCs w:val="24"/>
        </w:rPr>
        <w:t>relation de service</w:t>
      </w:r>
      <w:r w:rsidR="00FE3845" w:rsidRPr="00366BF3">
        <w:rPr>
          <w:color w:val="000000" w:themeColor="text1"/>
          <w:szCs w:val="24"/>
        </w:rPr>
        <w:t xml:space="preserve"> (</w:t>
      </w:r>
      <w:r w:rsidR="005565FF" w:rsidRPr="00366BF3">
        <w:rPr>
          <w:color w:val="000000" w:themeColor="text1"/>
          <w:szCs w:val="24"/>
        </w:rPr>
        <w:t xml:space="preserve">Lovelock et </w:t>
      </w:r>
      <w:r w:rsidR="00AF5116">
        <w:rPr>
          <w:i/>
          <w:color w:val="000000" w:themeColor="text1"/>
          <w:szCs w:val="24"/>
        </w:rPr>
        <w:t>al.</w:t>
      </w:r>
      <w:r w:rsidR="005565FF" w:rsidRPr="00366BF3">
        <w:rPr>
          <w:color w:val="000000" w:themeColor="text1"/>
          <w:szCs w:val="24"/>
        </w:rPr>
        <w:t>, 2011</w:t>
      </w:r>
      <w:r w:rsidR="00A5273B" w:rsidRPr="00366BF3">
        <w:rPr>
          <w:color w:val="000000" w:themeColor="text1"/>
          <w:szCs w:val="24"/>
        </w:rPr>
        <w:t>)</w:t>
      </w:r>
      <w:r w:rsidRPr="00366BF3">
        <w:rPr>
          <w:color w:val="000000" w:themeColor="text1"/>
          <w:szCs w:val="24"/>
        </w:rPr>
        <w:t xml:space="preserve"> et</w:t>
      </w:r>
      <w:r w:rsidR="00F4279F" w:rsidRPr="00366BF3">
        <w:rPr>
          <w:color w:val="000000" w:themeColor="text1"/>
          <w:szCs w:val="24"/>
        </w:rPr>
        <w:t xml:space="preserve"> t</w:t>
      </w:r>
      <w:r w:rsidR="00FE3845" w:rsidRPr="00366BF3">
        <w:rPr>
          <w:color w:val="000000" w:themeColor="text1"/>
          <w:szCs w:val="24"/>
        </w:rPr>
        <w:t xml:space="preserve">out service </w:t>
      </w:r>
      <w:r w:rsidR="00991B7C" w:rsidRPr="00366BF3">
        <w:rPr>
          <w:color w:val="000000" w:themeColor="text1"/>
          <w:szCs w:val="24"/>
        </w:rPr>
        <w:t xml:space="preserve">est </w:t>
      </w:r>
      <w:r w:rsidR="00FE3845" w:rsidRPr="00366BF3">
        <w:rPr>
          <w:color w:val="000000" w:themeColor="text1"/>
          <w:szCs w:val="24"/>
        </w:rPr>
        <w:t>rendu à partir d’une « formule de service » (Grönross, 2000), c’est-à-dire un mélange, défini par le prestataire, d’une somme d’élémen</w:t>
      </w:r>
      <w:r w:rsidR="00142B1E" w:rsidRPr="00366BF3">
        <w:rPr>
          <w:color w:val="000000" w:themeColor="text1"/>
          <w:szCs w:val="24"/>
        </w:rPr>
        <w:t xml:space="preserve">ts qui vont « rendre service », </w:t>
      </w:r>
      <w:r w:rsidR="00B94A57" w:rsidRPr="00366BF3">
        <w:rPr>
          <w:color w:val="000000" w:themeColor="text1"/>
          <w:szCs w:val="24"/>
        </w:rPr>
        <w:t xml:space="preserve">(Baranger et </w:t>
      </w:r>
      <w:r w:rsidR="00AF5116">
        <w:rPr>
          <w:i/>
          <w:color w:val="000000" w:themeColor="text1"/>
          <w:szCs w:val="24"/>
        </w:rPr>
        <w:t>al.</w:t>
      </w:r>
      <w:r w:rsidR="00B94A57" w:rsidRPr="00366BF3">
        <w:rPr>
          <w:color w:val="000000" w:themeColor="text1"/>
          <w:szCs w:val="24"/>
        </w:rPr>
        <w:t xml:space="preserve">, 2016 ; Lovelock et </w:t>
      </w:r>
      <w:r w:rsidR="00AF5116">
        <w:rPr>
          <w:i/>
          <w:color w:val="000000" w:themeColor="text1"/>
          <w:szCs w:val="24"/>
        </w:rPr>
        <w:t>al.</w:t>
      </w:r>
      <w:r w:rsidR="000D3D9E" w:rsidRPr="00366BF3">
        <w:rPr>
          <w:color w:val="000000" w:themeColor="text1"/>
          <w:szCs w:val="24"/>
        </w:rPr>
        <w:t>, 20</w:t>
      </w:r>
      <w:r w:rsidR="008E0CA9" w:rsidRPr="00366BF3">
        <w:rPr>
          <w:color w:val="000000" w:themeColor="text1"/>
          <w:szCs w:val="24"/>
        </w:rPr>
        <w:t>11</w:t>
      </w:r>
      <w:r w:rsidR="00B94A57" w:rsidRPr="00366BF3">
        <w:rPr>
          <w:color w:val="000000" w:themeColor="text1"/>
          <w:szCs w:val="24"/>
        </w:rPr>
        <w:t>)</w:t>
      </w:r>
      <w:r w:rsidR="00FE3845" w:rsidRPr="00366BF3">
        <w:rPr>
          <w:color w:val="000000" w:themeColor="text1"/>
          <w:szCs w:val="24"/>
        </w:rPr>
        <w:t>.</w:t>
      </w:r>
      <w:r w:rsidR="003E166F" w:rsidRPr="00366BF3">
        <w:rPr>
          <w:color w:val="000000" w:themeColor="text1"/>
          <w:szCs w:val="24"/>
        </w:rPr>
        <w:t xml:space="preserve"> Par conséquent, le PSL se doit d’assembler un ensemble d’éléments, plus ou moins utiles au client, construisant une formule de service pertinente répondant aux exigences logistiques des industriels</w:t>
      </w:r>
      <w:r w:rsidRPr="00366BF3">
        <w:rPr>
          <w:color w:val="000000" w:themeColor="text1"/>
          <w:szCs w:val="24"/>
        </w:rPr>
        <w:t>.</w:t>
      </w:r>
    </w:p>
    <w:p w:rsidR="00E65738" w:rsidRPr="00366BF3" w:rsidRDefault="00C67AAA" w:rsidP="00281482">
      <w:pPr>
        <w:tabs>
          <w:tab w:val="left" w:pos="567"/>
          <w:tab w:val="left" w:pos="709"/>
        </w:tabs>
        <w:spacing w:before="80" w:after="80" w:line="480" w:lineRule="auto"/>
        <w:jc w:val="both"/>
        <w:rPr>
          <w:color w:val="000000" w:themeColor="text1"/>
          <w:szCs w:val="24"/>
        </w:rPr>
      </w:pPr>
      <w:r w:rsidRPr="00366BF3">
        <w:rPr>
          <w:color w:val="000000" w:themeColor="text1"/>
          <w:szCs w:val="24"/>
        </w:rPr>
        <w:t>Un</w:t>
      </w:r>
      <w:r w:rsidR="00E65738" w:rsidRPr="00366BF3">
        <w:rPr>
          <w:color w:val="000000" w:themeColor="text1"/>
          <w:szCs w:val="24"/>
        </w:rPr>
        <w:t xml:space="preserve"> service est </w:t>
      </w:r>
      <w:r w:rsidRPr="00366BF3">
        <w:rPr>
          <w:color w:val="000000" w:themeColor="text1"/>
          <w:szCs w:val="24"/>
        </w:rPr>
        <w:t xml:space="preserve">donc </w:t>
      </w:r>
      <w:r w:rsidR="00E65738" w:rsidRPr="00366BF3">
        <w:rPr>
          <w:color w:val="000000" w:themeColor="text1"/>
          <w:szCs w:val="24"/>
        </w:rPr>
        <w:t xml:space="preserve">susceptible de se positionner de façon réussie par rapport à celui de la concurrence (Baranger et </w:t>
      </w:r>
      <w:r w:rsidR="00E65738" w:rsidRPr="00366BF3">
        <w:rPr>
          <w:i/>
          <w:color w:val="000000" w:themeColor="text1"/>
          <w:szCs w:val="24"/>
        </w:rPr>
        <w:t>al</w:t>
      </w:r>
      <w:r w:rsidR="000F5D8B">
        <w:rPr>
          <w:i/>
          <w:color w:val="000000" w:themeColor="text1"/>
          <w:szCs w:val="24"/>
        </w:rPr>
        <w:t>.</w:t>
      </w:r>
      <w:r w:rsidR="00E65738" w:rsidRPr="00366BF3">
        <w:rPr>
          <w:color w:val="000000" w:themeColor="text1"/>
          <w:szCs w:val="24"/>
        </w:rPr>
        <w:t>, 2016)</w:t>
      </w:r>
      <w:r w:rsidR="00086990" w:rsidRPr="00366BF3">
        <w:rPr>
          <w:color w:val="000000" w:themeColor="text1"/>
          <w:szCs w:val="24"/>
        </w:rPr>
        <w:t> :</w:t>
      </w:r>
      <w:r w:rsidR="00E65738" w:rsidRPr="00366BF3">
        <w:rPr>
          <w:color w:val="000000" w:themeColor="text1"/>
          <w:szCs w:val="24"/>
        </w:rPr>
        <w:t xml:space="preserve"> </w:t>
      </w:r>
    </w:p>
    <w:p w:rsidR="005828AE" w:rsidRPr="00366BF3" w:rsidRDefault="005828AE" w:rsidP="00281482">
      <w:pPr>
        <w:numPr>
          <w:ilvl w:val="0"/>
          <w:numId w:val="11"/>
        </w:numPr>
        <w:spacing w:before="120" w:line="480" w:lineRule="auto"/>
        <w:jc w:val="both"/>
        <w:rPr>
          <w:color w:val="000000" w:themeColor="text1"/>
          <w:szCs w:val="24"/>
        </w:rPr>
      </w:pPr>
      <w:r w:rsidRPr="00366BF3">
        <w:rPr>
          <w:color w:val="000000" w:themeColor="text1"/>
          <w:szCs w:val="24"/>
        </w:rPr>
        <w:t>s’il est mieux adapté à chacun des clients (effet de personnalisation),</w:t>
      </w:r>
    </w:p>
    <w:p w:rsidR="005828AE" w:rsidRPr="00366BF3" w:rsidRDefault="005828AE" w:rsidP="00281482">
      <w:pPr>
        <w:numPr>
          <w:ilvl w:val="0"/>
          <w:numId w:val="11"/>
        </w:numPr>
        <w:spacing w:line="480" w:lineRule="auto"/>
        <w:jc w:val="both"/>
        <w:rPr>
          <w:color w:val="000000" w:themeColor="text1"/>
          <w:szCs w:val="24"/>
        </w:rPr>
      </w:pPr>
      <w:r w:rsidRPr="00366BF3">
        <w:rPr>
          <w:color w:val="000000" w:themeColor="text1"/>
          <w:szCs w:val="24"/>
        </w:rPr>
        <w:t xml:space="preserve">si sa gamme d’attributs (i.e. la variété) de l’offre de services est plus large, </w:t>
      </w:r>
    </w:p>
    <w:p w:rsidR="005828AE" w:rsidRPr="00366BF3" w:rsidRDefault="005828AE" w:rsidP="00281482">
      <w:pPr>
        <w:numPr>
          <w:ilvl w:val="0"/>
          <w:numId w:val="11"/>
        </w:numPr>
        <w:spacing w:after="120" w:line="480" w:lineRule="auto"/>
        <w:jc w:val="both"/>
        <w:rPr>
          <w:color w:val="000000" w:themeColor="text1"/>
          <w:szCs w:val="24"/>
        </w:rPr>
      </w:pPr>
      <w:r w:rsidRPr="00366BF3">
        <w:rPr>
          <w:color w:val="000000" w:themeColor="text1"/>
          <w:szCs w:val="24"/>
        </w:rPr>
        <w:t>si à composantes de formules de services identiques, la qualité de la prestation est supérieure ou le coût inférieur (domination par les coûts),</w:t>
      </w:r>
    </w:p>
    <w:p w:rsidR="00872CE1" w:rsidRPr="00366BF3" w:rsidRDefault="00C67AAA" w:rsidP="00281482">
      <w:pPr>
        <w:tabs>
          <w:tab w:val="left" w:pos="567"/>
          <w:tab w:val="left" w:pos="709"/>
        </w:tabs>
        <w:spacing w:before="80" w:after="80" w:line="480" w:lineRule="auto"/>
        <w:jc w:val="both"/>
        <w:rPr>
          <w:color w:val="000000" w:themeColor="text1"/>
          <w:szCs w:val="24"/>
        </w:rPr>
      </w:pPr>
      <w:r w:rsidRPr="00366BF3">
        <w:rPr>
          <w:color w:val="000000" w:themeColor="text1"/>
          <w:szCs w:val="24"/>
        </w:rPr>
        <w:t>L</w:t>
      </w:r>
      <w:r w:rsidR="005828AE" w:rsidRPr="00366BF3">
        <w:rPr>
          <w:color w:val="000000" w:themeColor="text1"/>
          <w:szCs w:val="24"/>
        </w:rPr>
        <w:t xml:space="preserve">e </w:t>
      </w:r>
      <w:r w:rsidRPr="00366BF3">
        <w:rPr>
          <w:color w:val="000000" w:themeColor="text1"/>
          <w:szCs w:val="24"/>
        </w:rPr>
        <w:t xml:space="preserve">PSL affine son </w:t>
      </w:r>
      <w:r w:rsidR="005828AE" w:rsidRPr="00366BF3">
        <w:rPr>
          <w:color w:val="000000" w:themeColor="text1"/>
          <w:szCs w:val="24"/>
        </w:rPr>
        <w:t xml:space="preserve">positionnement concurrentiel spécifique </w:t>
      </w:r>
      <w:r w:rsidRPr="00366BF3">
        <w:rPr>
          <w:color w:val="000000" w:themeColor="text1"/>
          <w:szCs w:val="24"/>
        </w:rPr>
        <w:t xml:space="preserve">en </w:t>
      </w:r>
      <w:r w:rsidR="005828AE" w:rsidRPr="00366BF3">
        <w:rPr>
          <w:color w:val="000000" w:themeColor="text1"/>
          <w:szCs w:val="24"/>
        </w:rPr>
        <w:t>combinant trois caractéristiques distinctes dans une approche similaire à la différenciation stratégique et ses critères (concentration et spécialisation de l’offre)</w:t>
      </w:r>
      <w:r w:rsidR="00086990" w:rsidRPr="00366BF3">
        <w:rPr>
          <w:color w:val="000000" w:themeColor="text1"/>
          <w:szCs w:val="24"/>
        </w:rPr>
        <w:t>.</w:t>
      </w:r>
      <w:r w:rsidR="005828AE" w:rsidRPr="00366BF3">
        <w:rPr>
          <w:color w:val="000000" w:themeColor="text1"/>
          <w:szCs w:val="24"/>
        </w:rPr>
        <w:t xml:space="preserve"> </w:t>
      </w:r>
      <w:r w:rsidRPr="00366BF3">
        <w:rPr>
          <w:color w:val="000000" w:themeColor="text1"/>
          <w:szCs w:val="24"/>
        </w:rPr>
        <w:t>C</w:t>
      </w:r>
      <w:r w:rsidR="00E65738" w:rsidRPr="00366BF3">
        <w:rPr>
          <w:color w:val="000000" w:themeColor="text1"/>
          <w:szCs w:val="24"/>
        </w:rPr>
        <w:t xml:space="preserve">hoisir </w:t>
      </w:r>
      <w:r w:rsidR="003E166F" w:rsidRPr="00366BF3">
        <w:rPr>
          <w:color w:val="000000" w:themeColor="text1"/>
          <w:szCs w:val="24"/>
        </w:rPr>
        <w:t xml:space="preserve">une formule de service consiste </w:t>
      </w:r>
      <w:r w:rsidRPr="00366BF3">
        <w:rPr>
          <w:color w:val="000000" w:themeColor="text1"/>
          <w:szCs w:val="24"/>
        </w:rPr>
        <w:t xml:space="preserve">alors </w:t>
      </w:r>
      <w:r w:rsidR="003E166F" w:rsidRPr="00366BF3">
        <w:rPr>
          <w:color w:val="000000" w:themeColor="text1"/>
          <w:szCs w:val="24"/>
        </w:rPr>
        <w:t xml:space="preserve">pour le PSL à adopter une stratégie de </w:t>
      </w:r>
      <w:r w:rsidR="008A2F25" w:rsidRPr="00366BF3">
        <w:rPr>
          <w:color w:val="000000" w:themeColor="text1"/>
          <w:szCs w:val="24"/>
        </w:rPr>
        <w:t>positionnement </w:t>
      </w:r>
      <w:r w:rsidR="00142B1E" w:rsidRPr="00366BF3">
        <w:rPr>
          <w:color w:val="000000" w:themeColor="text1"/>
          <w:szCs w:val="24"/>
        </w:rPr>
        <w:t>particulière</w:t>
      </w:r>
      <w:r w:rsidR="005828AE" w:rsidRPr="00366BF3">
        <w:rPr>
          <w:color w:val="000000" w:themeColor="text1"/>
          <w:szCs w:val="24"/>
        </w:rPr>
        <w:t xml:space="preserve"> bornée par chacun des angles du triangle stratégique des services (</w:t>
      </w:r>
      <w:r w:rsidR="005828AE" w:rsidRPr="00366BF3">
        <w:rPr>
          <w:i/>
          <w:color w:val="000000" w:themeColor="text1"/>
          <w:szCs w:val="24"/>
        </w:rPr>
        <w:t>cf.</w:t>
      </w:r>
      <w:r w:rsidR="005828AE" w:rsidRPr="00366BF3">
        <w:rPr>
          <w:color w:val="000000" w:themeColor="text1"/>
          <w:szCs w:val="24"/>
        </w:rPr>
        <w:t xml:space="preserve"> figure 4) : trois zones vont alors </w:t>
      </w:r>
      <w:r w:rsidR="00BA2CFE" w:rsidRPr="00366BF3">
        <w:rPr>
          <w:color w:val="000000" w:themeColor="text1"/>
          <w:szCs w:val="24"/>
        </w:rPr>
        <w:t>émerger (</w:t>
      </w:r>
      <w:r w:rsidR="003E166F" w:rsidRPr="00366BF3">
        <w:rPr>
          <w:color w:val="000000" w:themeColor="text1"/>
          <w:szCs w:val="24"/>
        </w:rPr>
        <w:t xml:space="preserve">Baranger et </w:t>
      </w:r>
      <w:r w:rsidR="00AF5116">
        <w:rPr>
          <w:i/>
          <w:color w:val="000000" w:themeColor="text1"/>
          <w:szCs w:val="24"/>
        </w:rPr>
        <w:t>al</w:t>
      </w:r>
      <w:r w:rsidR="003E166F" w:rsidRPr="00366BF3">
        <w:rPr>
          <w:i/>
          <w:color w:val="000000" w:themeColor="text1"/>
          <w:szCs w:val="24"/>
        </w:rPr>
        <w:t>.</w:t>
      </w:r>
      <w:r w:rsidR="000D3D9E" w:rsidRPr="00366BF3">
        <w:rPr>
          <w:color w:val="000000" w:themeColor="text1"/>
          <w:szCs w:val="24"/>
        </w:rPr>
        <w:t>, 2016</w:t>
      </w:r>
      <w:r w:rsidR="003E166F" w:rsidRPr="00366BF3">
        <w:rPr>
          <w:color w:val="000000" w:themeColor="text1"/>
          <w:szCs w:val="24"/>
        </w:rPr>
        <w:t xml:space="preserve">). </w:t>
      </w:r>
    </w:p>
    <w:p w:rsidR="00872CE1" w:rsidRPr="00366BF3" w:rsidRDefault="00172E56" w:rsidP="00281482">
      <w:pPr>
        <w:tabs>
          <w:tab w:val="left" w:pos="567"/>
          <w:tab w:val="left" w:pos="709"/>
        </w:tabs>
        <w:spacing w:before="80" w:after="80" w:line="480" w:lineRule="auto"/>
        <w:jc w:val="both"/>
        <w:rPr>
          <w:color w:val="000000" w:themeColor="text1"/>
          <w:szCs w:val="24"/>
        </w:rPr>
      </w:pPr>
      <w:r w:rsidRPr="00366BF3">
        <w:rPr>
          <w:color w:val="000000" w:themeColor="text1"/>
          <w:szCs w:val="24"/>
        </w:rPr>
        <w:lastRenderedPageBreak/>
        <w:t>La formule de service « low cost » privilégie l’efficience au travers de la masse des flux prestés tandis que la formule de service privilégiant l’innovation et la personnalisation répond à des besoins des chargeurs de se voir accompagner dans leur développement par des PSL ayant la capacité de proposer des services toujours plus innovants et plus personnalisés</w:t>
      </w:r>
      <w:r w:rsidRPr="00366BF3">
        <w:rPr>
          <w:color w:val="000000" w:themeColor="text1"/>
        </w:rPr>
        <w:t xml:space="preserve"> </w:t>
      </w:r>
      <w:r w:rsidRPr="00366BF3">
        <w:rPr>
          <w:color w:val="000000" w:themeColor="text1"/>
          <w:szCs w:val="24"/>
        </w:rPr>
        <w:t>tout en investissant dans les moyens logistiques adéquats. En ce qui concerne la formule de services à prépondérance rapport qualité/prix, c’est une formule hybride, situé</w:t>
      </w:r>
      <w:r w:rsidR="00131738" w:rsidRPr="00366BF3">
        <w:rPr>
          <w:color w:val="000000" w:themeColor="text1"/>
          <w:szCs w:val="24"/>
        </w:rPr>
        <w:t>e</w:t>
      </w:r>
      <w:r w:rsidRPr="00366BF3">
        <w:rPr>
          <w:color w:val="000000" w:themeColor="text1"/>
          <w:szCs w:val="24"/>
        </w:rPr>
        <w:t xml:space="preserve"> à </w:t>
      </w:r>
      <w:r w:rsidR="00131738" w:rsidRPr="00366BF3">
        <w:rPr>
          <w:color w:val="000000" w:themeColor="text1"/>
          <w:szCs w:val="24"/>
        </w:rPr>
        <w:t>mi-chemin</w:t>
      </w:r>
      <w:r w:rsidRPr="00366BF3">
        <w:rPr>
          <w:color w:val="000000" w:themeColor="text1"/>
          <w:szCs w:val="24"/>
        </w:rPr>
        <w:t xml:space="preserve"> entre le low-cost et la servicialisation, qui s’appuie sur une rationalisation de l’offre ainsi que sur une politique de tarification au juste prix à partir de prévisions réalisées en amont.</w:t>
      </w:r>
    </w:p>
    <w:p w:rsidR="00D05C64" w:rsidRPr="00366BF3" w:rsidRDefault="003D0C86" w:rsidP="00281482">
      <w:pPr>
        <w:spacing w:line="480" w:lineRule="auto"/>
        <w:jc w:val="both"/>
        <w:rPr>
          <w:color w:val="000000" w:themeColor="text1"/>
          <w:szCs w:val="24"/>
        </w:rPr>
      </w:pPr>
      <w:r w:rsidRPr="00366BF3">
        <w:rPr>
          <w:color w:val="000000" w:themeColor="text1"/>
          <w:szCs w:val="24"/>
        </w:rPr>
        <w:t>Dès lors, on peut en conclure qu’en matière de prestation de services logistiques, c’est l’aptitude du PSL à combiner et à coordonner différents éléments dans la formule de service proposée au client qui va lui permettre de faire émerger un avantage concurrentiel complexe et difficilemen</w:t>
      </w:r>
      <w:r w:rsidR="00D05C64" w:rsidRPr="00366BF3">
        <w:rPr>
          <w:color w:val="000000" w:themeColor="text1"/>
          <w:szCs w:val="24"/>
        </w:rPr>
        <w:t xml:space="preserve">t réplicable par la concurrence ; une construction qui s’avère complexe. </w:t>
      </w:r>
      <w:r w:rsidR="00AD18E2" w:rsidRPr="00366BF3">
        <w:rPr>
          <w:color w:val="000000" w:themeColor="text1"/>
          <w:szCs w:val="24"/>
        </w:rPr>
        <w:t xml:space="preserve">En effet, </w:t>
      </w:r>
      <w:r w:rsidR="00D05C64" w:rsidRPr="00366BF3">
        <w:rPr>
          <w:color w:val="000000" w:themeColor="text1"/>
          <w:szCs w:val="24"/>
        </w:rPr>
        <w:t xml:space="preserve">le PSL doit déterminer les variables créatrices de valeur caractérisant son système d’offre autour de quelques compétences distinctives susceptibles de répondre aux demandes des industriels. </w:t>
      </w:r>
    </w:p>
    <w:p w:rsidR="00901F6F" w:rsidRDefault="00901F6F" w:rsidP="00281482">
      <w:pPr>
        <w:tabs>
          <w:tab w:val="left" w:pos="567"/>
          <w:tab w:val="left" w:pos="709"/>
        </w:tabs>
        <w:spacing w:before="80" w:after="80" w:line="480" w:lineRule="auto"/>
        <w:jc w:val="center"/>
        <w:rPr>
          <w:b/>
          <w:color w:val="000000" w:themeColor="text1"/>
          <w:szCs w:val="24"/>
        </w:rPr>
      </w:pPr>
      <w:r w:rsidRPr="00F83E38">
        <w:rPr>
          <w:noProof/>
          <w:color w:val="000000" w:themeColor="text1"/>
          <w:szCs w:val="24"/>
        </w:rPr>
        <w:drawing>
          <wp:inline distT="0" distB="0" distL="0" distR="0" wp14:anchorId="29705F1D" wp14:editId="56FDA078">
            <wp:extent cx="4727100" cy="276446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29022" cy="2765589"/>
                    </a:xfrm>
                    <a:prstGeom prst="rect">
                      <a:avLst/>
                    </a:prstGeom>
                    <a:noFill/>
                    <a:ln>
                      <a:noFill/>
                    </a:ln>
                  </pic:spPr>
                </pic:pic>
              </a:graphicData>
            </a:graphic>
          </wp:inline>
        </w:drawing>
      </w:r>
    </w:p>
    <w:p w:rsidR="00172E56" w:rsidRPr="00366BF3" w:rsidRDefault="00131738" w:rsidP="00281482">
      <w:pPr>
        <w:tabs>
          <w:tab w:val="left" w:pos="567"/>
          <w:tab w:val="left" w:pos="709"/>
        </w:tabs>
        <w:spacing w:before="80" w:after="80" w:line="480" w:lineRule="auto"/>
        <w:jc w:val="center"/>
        <w:rPr>
          <w:b/>
          <w:color w:val="000000" w:themeColor="text1"/>
          <w:szCs w:val="24"/>
        </w:rPr>
      </w:pPr>
      <w:r w:rsidRPr="00366BF3">
        <w:rPr>
          <w:b/>
          <w:color w:val="000000" w:themeColor="text1"/>
          <w:szCs w:val="24"/>
        </w:rPr>
        <w:t>Figure n</w:t>
      </w:r>
      <w:r w:rsidR="005828AE" w:rsidRPr="00366BF3">
        <w:rPr>
          <w:b/>
          <w:color w:val="000000" w:themeColor="text1"/>
          <w:szCs w:val="24"/>
        </w:rPr>
        <w:t>°4</w:t>
      </w:r>
      <w:r w:rsidRPr="00366BF3">
        <w:rPr>
          <w:b/>
          <w:color w:val="000000" w:themeColor="text1"/>
          <w:szCs w:val="24"/>
        </w:rPr>
        <w:t> : le triangle stratégique des services</w:t>
      </w:r>
    </w:p>
    <w:p w:rsidR="00D05C64" w:rsidRPr="00366BF3" w:rsidRDefault="00D05C64" w:rsidP="00281482">
      <w:pPr>
        <w:spacing w:line="480" w:lineRule="auto"/>
        <w:jc w:val="both"/>
        <w:rPr>
          <w:color w:val="000000" w:themeColor="text1"/>
          <w:szCs w:val="24"/>
        </w:rPr>
      </w:pPr>
      <w:r w:rsidRPr="00366BF3">
        <w:rPr>
          <w:color w:val="000000" w:themeColor="text1"/>
          <w:szCs w:val="24"/>
        </w:rPr>
        <w:lastRenderedPageBreak/>
        <w:t xml:space="preserve">Cependant, le travail longitudinal </w:t>
      </w:r>
      <w:r w:rsidR="00C67AAA" w:rsidRPr="00366BF3">
        <w:rPr>
          <w:color w:val="000000" w:themeColor="text1"/>
          <w:szCs w:val="24"/>
        </w:rPr>
        <w:t>mené</w:t>
      </w:r>
      <w:r w:rsidRPr="00366BF3">
        <w:rPr>
          <w:color w:val="000000" w:themeColor="text1"/>
          <w:szCs w:val="24"/>
        </w:rPr>
        <w:t xml:space="preserve"> depuis 2010 révèle</w:t>
      </w:r>
      <w:r w:rsidR="00C67AAA" w:rsidRPr="00366BF3">
        <w:rPr>
          <w:color w:val="000000" w:themeColor="text1"/>
          <w:szCs w:val="24"/>
        </w:rPr>
        <w:t xml:space="preserve"> </w:t>
      </w:r>
      <w:r w:rsidRPr="00366BF3">
        <w:rPr>
          <w:color w:val="000000" w:themeColor="text1"/>
          <w:szCs w:val="24"/>
        </w:rPr>
        <w:t>que si les PSL font bénéficier leurs clients d’économies de compétences, ils n’apportent pas de réponses suffisamment personnalisées aux industriels</w:t>
      </w:r>
      <w:r w:rsidR="00C67AAA" w:rsidRPr="00366BF3">
        <w:rPr>
          <w:color w:val="000000" w:themeColor="text1"/>
          <w:szCs w:val="24"/>
        </w:rPr>
        <w:t xml:space="preserve"> </w:t>
      </w:r>
      <w:r w:rsidRPr="00366BF3">
        <w:rPr>
          <w:color w:val="000000" w:themeColor="text1"/>
          <w:szCs w:val="24"/>
        </w:rPr>
        <w:t>eux-mêmes confrontés aux exigences des distributeurs</w:t>
      </w:r>
      <w:r w:rsidR="00DF7941">
        <w:rPr>
          <w:color w:val="000000" w:themeColor="text1"/>
          <w:szCs w:val="24"/>
        </w:rPr>
        <w:t xml:space="preserve"> </w:t>
      </w:r>
      <w:r w:rsidR="00DF7941">
        <w:rPr>
          <w:rStyle w:val="st"/>
          <w:color w:val="000000" w:themeColor="text1"/>
          <w:szCs w:val="24"/>
        </w:rPr>
        <w:t>(Mevel et Morvan, 2010, 2014 et 2017)</w:t>
      </w:r>
      <w:r w:rsidRPr="00366BF3">
        <w:rPr>
          <w:color w:val="000000" w:themeColor="text1"/>
          <w:szCs w:val="24"/>
        </w:rPr>
        <w:t>. Dès lors, il nous semble opportun de nous intéresser au terrain afin d</w:t>
      </w:r>
      <w:r w:rsidR="00C67AAA" w:rsidRPr="00366BF3">
        <w:rPr>
          <w:color w:val="000000" w:themeColor="text1"/>
          <w:szCs w:val="24"/>
        </w:rPr>
        <w:t>’observer la situation spécifique des PSL au cœur du canal de distribution.</w:t>
      </w:r>
    </w:p>
    <w:p w:rsidR="00C74A2A" w:rsidRPr="00366BF3" w:rsidRDefault="00F178BB" w:rsidP="00281482">
      <w:pPr>
        <w:pStyle w:val="Paragraphedeliste"/>
        <w:numPr>
          <w:ilvl w:val="0"/>
          <w:numId w:val="1"/>
        </w:numPr>
        <w:spacing w:line="480" w:lineRule="auto"/>
        <w:ind w:left="426"/>
        <w:jc w:val="both"/>
        <w:rPr>
          <w:b/>
          <w:color w:val="000000" w:themeColor="text1"/>
        </w:rPr>
      </w:pPr>
      <w:r w:rsidRPr="00366BF3">
        <w:rPr>
          <w:b/>
          <w:color w:val="000000" w:themeColor="text1"/>
        </w:rPr>
        <w:t>LE PSL, VARIABLE D’AJUSTEMENT OU PARTIE PRENANTE ? LE CAS DE L’INTERREGION BRETAGNE – NORMANDIE – PAYS DE LA LOIRE</w:t>
      </w:r>
    </w:p>
    <w:p w:rsidR="00D31EA5" w:rsidRPr="00366BF3" w:rsidRDefault="00D31EA5" w:rsidP="00281482">
      <w:pPr>
        <w:spacing w:line="480" w:lineRule="auto"/>
        <w:jc w:val="both"/>
        <w:rPr>
          <w:color w:val="000000" w:themeColor="text1"/>
          <w:szCs w:val="24"/>
        </w:rPr>
      </w:pPr>
      <w:r w:rsidRPr="00366BF3">
        <w:rPr>
          <w:color w:val="000000" w:themeColor="text1"/>
          <w:szCs w:val="24"/>
        </w:rPr>
        <w:t>Dans une première partie</w:t>
      </w:r>
      <w:r w:rsidR="00550149" w:rsidRPr="00366BF3">
        <w:rPr>
          <w:color w:val="000000" w:themeColor="text1"/>
          <w:szCs w:val="24"/>
        </w:rPr>
        <w:t xml:space="preserve"> (2.1)</w:t>
      </w:r>
      <w:r w:rsidRPr="00366BF3">
        <w:rPr>
          <w:color w:val="000000" w:themeColor="text1"/>
          <w:szCs w:val="24"/>
        </w:rPr>
        <w:t xml:space="preserve">, nous traitons des aspects méthodologiques de l’enquête menée auprès d’un échantillon représentatif d’industriels des différentes filières des industries agroalimentaires du « Grand Ouest » </w:t>
      </w:r>
      <w:r w:rsidR="00AC16C4" w:rsidRPr="00366BF3">
        <w:rPr>
          <w:color w:val="000000" w:themeColor="text1"/>
          <w:szCs w:val="24"/>
        </w:rPr>
        <w:t xml:space="preserve">et d’un échantillon de PSL spécialisés dans le thermo dirigé </w:t>
      </w:r>
      <w:r w:rsidRPr="00366BF3">
        <w:rPr>
          <w:color w:val="000000" w:themeColor="text1"/>
          <w:szCs w:val="24"/>
        </w:rPr>
        <w:t>(Bretagne, Normandie et Pays de la Loire), puis dans une seconde partie</w:t>
      </w:r>
      <w:r w:rsidR="00550149" w:rsidRPr="00366BF3">
        <w:rPr>
          <w:color w:val="000000" w:themeColor="text1"/>
          <w:szCs w:val="24"/>
        </w:rPr>
        <w:t xml:space="preserve"> (2.2)</w:t>
      </w:r>
      <w:r w:rsidRPr="00366BF3">
        <w:rPr>
          <w:color w:val="000000" w:themeColor="text1"/>
          <w:szCs w:val="24"/>
        </w:rPr>
        <w:t xml:space="preserve">, nous analysons les résultats obtenus </w:t>
      </w:r>
      <w:r w:rsidR="00C5475A" w:rsidRPr="00366BF3">
        <w:rPr>
          <w:color w:val="000000" w:themeColor="text1"/>
          <w:szCs w:val="24"/>
        </w:rPr>
        <w:t>dont nous commentons</w:t>
      </w:r>
      <w:r w:rsidRPr="00366BF3">
        <w:rPr>
          <w:color w:val="000000" w:themeColor="text1"/>
          <w:szCs w:val="24"/>
        </w:rPr>
        <w:t xml:space="preserve"> les principales implications managériales</w:t>
      </w:r>
      <w:r w:rsidR="00C5475A" w:rsidRPr="00366BF3">
        <w:rPr>
          <w:color w:val="000000" w:themeColor="text1"/>
          <w:szCs w:val="24"/>
        </w:rPr>
        <w:t xml:space="preserve"> dans une dernière partie (2.3).</w:t>
      </w:r>
    </w:p>
    <w:p w:rsidR="00155B1D" w:rsidRPr="00366BF3" w:rsidRDefault="00155B1D" w:rsidP="00281482">
      <w:pPr>
        <w:spacing w:line="480" w:lineRule="auto"/>
        <w:jc w:val="both"/>
        <w:rPr>
          <w:b/>
          <w:color w:val="000000" w:themeColor="text1"/>
        </w:rPr>
      </w:pPr>
      <w:r w:rsidRPr="00366BF3">
        <w:rPr>
          <w:b/>
          <w:color w:val="000000" w:themeColor="text1"/>
        </w:rPr>
        <w:t xml:space="preserve">2-1- La méthodologie utilisée </w:t>
      </w:r>
    </w:p>
    <w:p w:rsidR="005949E4" w:rsidRPr="00366BF3" w:rsidRDefault="001E0E55" w:rsidP="00281482">
      <w:pPr>
        <w:pStyle w:val="Paragraphedeliste"/>
        <w:tabs>
          <w:tab w:val="left" w:pos="284"/>
        </w:tabs>
        <w:spacing w:before="80" w:after="80" w:line="480" w:lineRule="auto"/>
        <w:ind w:left="0"/>
        <w:contextualSpacing w:val="0"/>
        <w:jc w:val="both"/>
        <w:rPr>
          <w:color w:val="000000" w:themeColor="text1"/>
          <w:szCs w:val="24"/>
        </w:rPr>
      </w:pPr>
      <w:r w:rsidRPr="00366BF3">
        <w:rPr>
          <w:color w:val="000000" w:themeColor="text1"/>
          <w:szCs w:val="24"/>
        </w:rPr>
        <w:t>Pour déterminer la qualité de service perçue par l’industriel et analyser son l’évolution, nous avons privilégié la méthode de Montebello (2003)</w:t>
      </w:r>
      <w:r w:rsidR="00C67AAA" w:rsidRPr="00366BF3">
        <w:rPr>
          <w:color w:val="000000" w:themeColor="text1"/>
          <w:szCs w:val="24"/>
        </w:rPr>
        <w:t xml:space="preserve"> qui </w:t>
      </w:r>
      <w:r w:rsidRPr="00366BF3">
        <w:rPr>
          <w:color w:val="000000" w:themeColor="text1"/>
          <w:szCs w:val="24"/>
        </w:rPr>
        <w:t>nous offre la possibilité de mesurer précisément la Valeur Ajoutée Client (VAC) que reconnaît l’industriel à la prestation. La Valeur Ajoutée Client</w:t>
      </w:r>
      <w:r w:rsidR="00711D2E" w:rsidRPr="00366BF3">
        <w:rPr>
          <w:rStyle w:val="Appelnotedebasdep"/>
          <w:color w:val="000000" w:themeColor="text1"/>
          <w:szCs w:val="24"/>
        </w:rPr>
        <w:footnoteReference w:id="2"/>
      </w:r>
      <w:r w:rsidRPr="00366BF3">
        <w:rPr>
          <w:i/>
          <w:color w:val="000000" w:themeColor="text1"/>
          <w:szCs w:val="24"/>
        </w:rPr>
        <w:t xml:space="preserve"> </w:t>
      </w:r>
      <w:r w:rsidRPr="00366BF3">
        <w:rPr>
          <w:color w:val="000000" w:themeColor="text1"/>
          <w:szCs w:val="24"/>
        </w:rPr>
        <w:t>vient traduire et rendre compte de la qualité de la prestation effectivement perçue par les clients. Elle est la conséquence directe de la mise en œuvre des composantes de la formule de service proposée par le PSL</w:t>
      </w:r>
      <w:r w:rsidR="005949E4" w:rsidRPr="00366BF3">
        <w:rPr>
          <w:color w:val="000000" w:themeColor="text1"/>
          <w:szCs w:val="24"/>
        </w:rPr>
        <w:t xml:space="preserve"> (</w:t>
      </w:r>
      <w:r w:rsidR="005949E4" w:rsidRPr="00366BF3">
        <w:rPr>
          <w:i/>
          <w:color w:val="000000" w:themeColor="text1"/>
          <w:szCs w:val="24"/>
        </w:rPr>
        <w:t>cf.</w:t>
      </w:r>
      <w:r w:rsidR="005949E4" w:rsidRPr="00366BF3">
        <w:rPr>
          <w:color w:val="000000" w:themeColor="text1"/>
          <w:szCs w:val="24"/>
        </w:rPr>
        <w:t xml:space="preserve"> annexe </w:t>
      </w:r>
      <w:r w:rsidR="00033BEB" w:rsidRPr="00366BF3">
        <w:rPr>
          <w:color w:val="000000" w:themeColor="text1"/>
          <w:szCs w:val="24"/>
        </w:rPr>
        <w:t>2</w:t>
      </w:r>
      <w:r w:rsidR="005949E4" w:rsidRPr="00366BF3">
        <w:rPr>
          <w:color w:val="000000" w:themeColor="text1"/>
          <w:szCs w:val="24"/>
        </w:rPr>
        <w:t xml:space="preserve">). </w:t>
      </w:r>
      <w:r w:rsidR="001E74E1" w:rsidRPr="00366BF3">
        <w:rPr>
          <w:color w:val="000000" w:themeColor="text1"/>
          <w:szCs w:val="24"/>
        </w:rPr>
        <w:t>D</w:t>
      </w:r>
      <w:r w:rsidR="005949E4" w:rsidRPr="00366BF3">
        <w:rPr>
          <w:color w:val="000000" w:themeColor="text1"/>
          <w:szCs w:val="24"/>
        </w:rPr>
        <w:t>es enquêtes successives</w:t>
      </w:r>
      <w:r w:rsidR="001E74E1" w:rsidRPr="00366BF3">
        <w:rPr>
          <w:color w:val="000000" w:themeColor="text1"/>
          <w:szCs w:val="24"/>
        </w:rPr>
        <w:t xml:space="preserve"> ont été menées</w:t>
      </w:r>
      <w:r w:rsidR="005949E4" w:rsidRPr="00366BF3">
        <w:rPr>
          <w:color w:val="000000" w:themeColor="text1"/>
          <w:szCs w:val="24"/>
        </w:rPr>
        <w:t xml:space="preserve"> auprès d’un panel d’industriels de l’agroalimentaire au cours des années 2010, 2011, 2012, 2014 et 2016 </w:t>
      </w:r>
      <w:r w:rsidR="001E74E1" w:rsidRPr="00366BF3">
        <w:rPr>
          <w:color w:val="000000" w:themeColor="text1"/>
          <w:szCs w:val="24"/>
        </w:rPr>
        <w:t xml:space="preserve">en </w:t>
      </w:r>
      <w:r w:rsidR="005949E4" w:rsidRPr="00366BF3">
        <w:rPr>
          <w:color w:val="000000" w:themeColor="text1"/>
          <w:szCs w:val="24"/>
        </w:rPr>
        <w:t xml:space="preserve">Bretagne, et au cours des années 2014 et 2016 </w:t>
      </w:r>
      <w:r w:rsidR="001E74E1" w:rsidRPr="00366BF3">
        <w:rPr>
          <w:color w:val="000000" w:themeColor="text1"/>
          <w:szCs w:val="24"/>
        </w:rPr>
        <w:t>en</w:t>
      </w:r>
      <w:r w:rsidR="005949E4" w:rsidRPr="00366BF3">
        <w:rPr>
          <w:color w:val="000000" w:themeColor="text1"/>
          <w:szCs w:val="24"/>
        </w:rPr>
        <w:t xml:space="preserve"> Normandie et Pays de </w:t>
      </w:r>
      <w:r w:rsidR="001E74E1" w:rsidRPr="00366BF3">
        <w:rPr>
          <w:color w:val="000000" w:themeColor="text1"/>
          <w:szCs w:val="24"/>
        </w:rPr>
        <w:t xml:space="preserve">la </w:t>
      </w:r>
      <w:r w:rsidR="005949E4" w:rsidRPr="00366BF3">
        <w:rPr>
          <w:color w:val="000000" w:themeColor="text1"/>
          <w:szCs w:val="24"/>
        </w:rPr>
        <w:t>Loire, en nous appuyant sur des questions identiques d’une année à l’autre.</w:t>
      </w:r>
    </w:p>
    <w:p w:rsidR="00AF0B8E" w:rsidRPr="00366BF3" w:rsidRDefault="005949E4" w:rsidP="00281482">
      <w:pPr>
        <w:pStyle w:val="Paragraphedeliste"/>
        <w:tabs>
          <w:tab w:val="left" w:pos="284"/>
        </w:tabs>
        <w:spacing w:before="80" w:after="80" w:line="480" w:lineRule="auto"/>
        <w:ind w:left="0"/>
        <w:contextualSpacing w:val="0"/>
        <w:jc w:val="both"/>
        <w:rPr>
          <w:color w:val="000000" w:themeColor="text1"/>
          <w:szCs w:val="24"/>
        </w:rPr>
      </w:pPr>
      <w:r w:rsidRPr="00366BF3">
        <w:rPr>
          <w:color w:val="000000" w:themeColor="text1"/>
          <w:szCs w:val="24"/>
        </w:rPr>
        <w:lastRenderedPageBreak/>
        <w:t xml:space="preserve">Ainsi, </w:t>
      </w:r>
      <w:r w:rsidR="001E74E1" w:rsidRPr="00366BF3">
        <w:rPr>
          <w:color w:val="000000" w:themeColor="text1"/>
          <w:szCs w:val="24"/>
        </w:rPr>
        <w:t>n</w:t>
      </w:r>
      <w:r w:rsidRPr="00366BF3">
        <w:rPr>
          <w:color w:val="000000" w:themeColor="text1"/>
          <w:szCs w:val="24"/>
        </w:rPr>
        <w:t>ous avons soumis aux différents responsables logistiques rencontrés un questionnaire, dans lequel nous leur avons demandé d’ordonnancer les sources de valeur ajoutée</w:t>
      </w:r>
      <w:r w:rsidR="00711D2E" w:rsidRPr="00366BF3">
        <w:rPr>
          <w:rStyle w:val="Appelnotedebasdep"/>
          <w:color w:val="000000" w:themeColor="text1"/>
          <w:szCs w:val="24"/>
        </w:rPr>
        <w:footnoteReference w:id="3"/>
      </w:r>
      <w:r w:rsidRPr="00366BF3">
        <w:rPr>
          <w:color w:val="000000" w:themeColor="text1"/>
          <w:szCs w:val="24"/>
        </w:rPr>
        <w:t xml:space="preserve"> afin de déterminer leur poids respectif sur l’ensemble de l’échantillon. </w:t>
      </w:r>
      <w:r w:rsidR="00506BDC" w:rsidRPr="00366BF3">
        <w:rPr>
          <w:color w:val="000000" w:themeColor="text1"/>
          <w:szCs w:val="24"/>
        </w:rPr>
        <w:t xml:space="preserve">Puis, nous avons récolté une note pour chacun des PSL utilisés par les IAA de l’échantillon sur chacune des sources de VAC révélées. </w:t>
      </w:r>
      <w:r w:rsidR="00486A69" w:rsidRPr="00366BF3">
        <w:rPr>
          <w:color w:val="000000" w:themeColor="text1"/>
          <w:szCs w:val="24"/>
        </w:rPr>
        <w:t xml:space="preserve">Il est important de préciser que nous avons fait émerger ces sources de VAC à partir d’une série d’entretiens semi-directifs menés auprès de responsables logistiques lors de notre première enquête. A l’issue de ces entretiens nous avons recensé et analysé un ensemble de critères (réactivité aux livraisons urgentes, délais de livraison moyen, </w:t>
      </w:r>
      <w:r w:rsidR="00486A69" w:rsidRPr="00DF7941">
        <w:rPr>
          <w:i/>
          <w:color w:val="000000" w:themeColor="text1"/>
          <w:szCs w:val="24"/>
        </w:rPr>
        <w:t>etc</w:t>
      </w:r>
      <w:r w:rsidR="00486A69" w:rsidRPr="00366BF3">
        <w:rPr>
          <w:color w:val="000000" w:themeColor="text1"/>
          <w:szCs w:val="24"/>
        </w:rPr>
        <w:t xml:space="preserve">.) que nous avons relié à neuf sources principales de VAC. Ensuite à chaque nouvelle enquête nous </w:t>
      </w:r>
      <w:r w:rsidR="00830D83" w:rsidRPr="00366BF3">
        <w:rPr>
          <w:color w:val="000000" w:themeColor="text1"/>
          <w:szCs w:val="24"/>
        </w:rPr>
        <w:t>avons vérifié</w:t>
      </w:r>
      <w:r w:rsidR="00486A69" w:rsidRPr="00366BF3">
        <w:rPr>
          <w:color w:val="000000" w:themeColor="text1"/>
          <w:szCs w:val="24"/>
        </w:rPr>
        <w:t xml:space="preserve"> si la liste des sources de </w:t>
      </w:r>
      <w:r w:rsidR="005C28ED" w:rsidRPr="00366BF3">
        <w:rPr>
          <w:color w:val="000000" w:themeColor="text1"/>
          <w:szCs w:val="24"/>
        </w:rPr>
        <w:t>VAC connaissait</w:t>
      </w:r>
      <w:r w:rsidR="00486A69" w:rsidRPr="00366BF3">
        <w:rPr>
          <w:color w:val="000000" w:themeColor="text1"/>
          <w:szCs w:val="24"/>
        </w:rPr>
        <w:t xml:space="preserve"> depuis notre </w:t>
      </w:r>
      <w:r w:rsidR="005C28ED" w:rsidRPr="00366BF3">
        <w:rPr>
          <w:color w:val="000000" w:themeColor="text1"/>
          <w:szCs w:val="24"/>
        </w:rPr>
        <w:t>première</w:t>
      </w:r>
      <w:r w:rsidR="00486A69" w:rsidRPr="00366BF3">
        <w:rPr>
          <w:color w:val="000000" w:themeColor="text1"/>
          <w:szCs w:val="24"/>
        </w:rPr>
        <w:t xml:space="preserve"> enquête menée en 201</w:t>
      </w:r>
      <w:r w:rsidR="005C28ED" w:rsidRPr="00366BF3">
        <w:rPr>
          <w:color w:val="000000" w:themeColor="text1"/>
          <w:szCs w:val="24"/>
        </w:rPr>
        <w:t>0</w:t>
      </w:r>
      <w:r w:rsidR="00486A69" w:rsidRPr="00366BF3">
        <w:rPr>
          <w:color w:val="000000" w:themeColor="text1"/>
          <w:szCs w:val="24"/>
        </w:rPr>
        <w:t xml:space="preserve"> des évolutions significatives. </w:t>
      </w:r>
      <w:r w:rsidR="005C28ED" w:rsidRPr="00366BF3">
        <w:rPr>
          <w:color w:val="000000" w:themeColor="text1"/>
          <w:szCs w:val="24"/>
        </w:rPr>
        <w:t xml:space="preserve">Les </w:t>
      </w:r>
      <w:r w:rsidR="00830D83" w:rsidRPr="00366BF3">
        <w:rPr>
          <w:color w:val="000000" w:themeColor="text1"/>
          <w:szCs w:val="24"/>
        </w:rPr>
        <w:t>entretiens semi-</w:t>
      </w:r>
      <w:r w:rsidR="00486A69" w:rsidRPr="00366BF3">
        <w:rPr>
          <w:color w:val="000000" w:themeColor="text1"/>
          <w:szCs w:val="24"/>
        </w:rPr>
        <w:t xml:space="preserve">directifs </w:t>
      </w:r>
      <w:r w:rsidR="005C28ED" w:rsidRPr="00366BF3">
        <w:rPr>
          <w:color w:val="000000" w:themeColor="text1"/>
          <w:szCs w:val="24"/>
        </w:rPr>
        <w:t>menés nous ont</w:t>
      </w:r>
      <w:r w:rsidR="00486A69" w:rsidRPr="00366BF3">
        <w:rPr>
          <w:color w:val="000000" w:themeColor="text1"/>
          <w:szCs w:val="24"/>
        </w:rPr>
        <w:t xml:space="preserve"> </w:t>
      </w:r>
      <w:r w:rsidR="005C28ED" w:rsidRPr="00366BF3">
        <w:rPr>
          <w:color w:val="000000" w:themeColor="text1"/>
          <w:szCs w:val="24"/>
        </w:rPr>
        <w:t>révélé</w:t>
      </w:r>
      <w:r w:rsidR="00486A69" w:rsidRPr="00366BF3">
        <w:rPr>
          <w:color w:val="000000" w:themeColor="text1"/>
          <w:szCs w:val="24"/>
        </w:rPr>
        <w:t xml:space="preserve"> la permanence des caractéristiques des sources de VAC</w:t>
      </w:r>
      <w:r w:rsidR="005C28ED" w:rsidRPr="00366BF3">
        <w:rPr>
          <w:color w:val="000000" w:themeColor="text1"/>
          <w:szCs w:val="24"/>
        </w:rPr>
        <w:t>.</w:t>
      </w:r>
    </w:p>
    <w:p w:rsidR="00514FF6" w:rsidRPr="00366BF3" w:rsidRDefault="00514FF6" w:rsidP="00281482">
      <w:pPr>
        <w:spacing w:line="480" w:lineRule="auto"/>
        <w:jc w:val="both"/>
        <w:rPr>
          <w:color w:val="000000" w:themeColor="text1"/>
          <w:szCs w:val="24"/>
        </w:rPr>
      </w:pPr>
      <w:r w:rsidRPr="00366BF3">
        <w:rPr>
          <w:color w:val="000000" w:themeColor="text1"/>
          <w:szCs w:val="24"/>
        </w:rPr>
        <w:t>Nous avons aussi souhaité lors de cette enquête leur poser la question des facteurs clés de réussite d’une collaboration avec leur PSL principal</w:t>
      </w:r>
      <w:r w:rsidR="00AF0B8E" w:rsidRPr="00366BF3">
        <w:rPr>
          <w:color w:val="000000" w:themeColor="text1"/>
          <w:szCs w:val="24"/>
        </w:rPr>
        <w:t xml:space="preserve"> en leur proposant une liste de facteurs prédéterminés émanant d’entretiens qualitatifs menés auprès d’industriels</w:t>
      </w:r>
      <w:r w:rsidR="000471A7" w:rsidRPr="00366BF3">
        <w:rPr>
          <w:color w:val="000000" w:themeColor="text1"/>
          <w:szCs w:val="24"/>
        </w:rPr>
        <w:t xml:space="preserve"> des filières agroalimentaires</w:t>
      </w:r>
      <w:r w:rsidR="00AF0B8E" w:rsidRPr="00366BF3">
        <w:rPr>
          <w:color w:val="000000" w:themeColor="text1"/>
          <w:szCs w:val="24"/>
        </w:rPr>
        <w:t>.</w:t>
      </w:r>
      <w:r w:rsidRPr="00366BF3">
        <w:rPr>
          <w:color w:val="000000" w:themeColor="text1"/>
          <w:szCs w:val="24"/>
        </w:rPr>
        <w:t xml:space="preserve"> </w:t>
      </w:r>
    </w:p>
    <w:p w:rsidR="00751CCC" w:rsidRPr="00366BF3" w:rsidRDefault="00514FF6" w:rsidP="00281482">
      <w:pPr>
        <w:spacing w:line="480" w:lineRule="auto"/>
        <w:jc w:val="both"/>
        <w:rPr>
          <w:strike/>
          <w:color w:val="000000" w:themeColor="text1"/>
          <w:szCs w:val="24"/>
        </w:rPr>
      </w:pPr>
      <w:r w:rsidRPr="00366BF3">
        <w:rPr>
          <w:color w:val="000000" w:themeColor="text1"/>
          <w:szCs w:val="24"/>
        </w:rPr>
        <w:t xml:space="preserve">Ensuite, </w:t>
      </w:r>
      <w:r w:rsidR="00A3744A" w:rsidRPr="00366BF3">
        <w:rPr>
          <w:color w:val="000000" w:themeColor="text1"/>
          <w:szCs w:val="24"/>
        </w:rPr>
        <w:t>pour cette nouvelle enquête,</w:t>
      </w:r>
      <w:r w:rsidRPr="00366BF3">
        <w:rPr>
          <w:color w:val="000000" w:themeColor="text1"/>
          <w:szCs w:val="24"/>
        </w:rPr>
        <w:t xml:space="preserve"> </w:t>
      </w:r>
      <w:r w:rsidR="000471A7" w:rsidRPr="00366BF3">
        <w:rPr>
          <w:color w:val="000000" w:themeColor="text1"/>
          <w:szCs w:val="24"/>
        </w:rPr>
        <w:t xml:space="preserve">nous avons également </w:t>
      </w:r>
      <w:r w:rsidRPr="00366BF3">
        <w:rPr>
          <w:color w:val="000000" w:themeColor="text1"/>
          <w:szCs w:val="24"/>
        </w:rPr>
        <w:t>interrog</w:t>
      </w:r>
      <w:r w:rsidR="000471A7" w:rsidRPr="00366BF3">
        <w:rPr>
          <w:color w:val="000000" w:themeColor="text1"/>
          <w:szCs w:val="24"/>
        </w:rPr>
        <w:t>é</w:t>
      </w:r>
      <w:r w:rsidRPr="00366BF3">
        <w:rPr>
          <w:color w:val="000000" w:themeColor="text1"/>
          <w:szCs w:val="24"/>
        </w:rPr>
        <w:t xml:space="preserve"> les PSL en leur soumettant un questionnaire structuré en trois points principaux. Tout d’abord, </w:t>
      </w:r>
      <w:r w:rsidR="00927D1E" w:rsidRPr="00366BF3">
        <w:rPr>
          <w:color w:val="000000" w:themeColor="text1"/>
          <w:szCs w:val="24"/>
        </w:rPr>
        <w:t>le premier point avait pour objectif d’obtenir</w:t>
      </w:r>
      <w:r w:rsidRPr="00366BF3">
        <w:rPr>
          <w:color w:val="000000" w:themeColor="text1"/>
          <w:szCs w:val="24"/>
        </w:rPr>
        <w:t xml:space="preserve"> </w:t>
      </w:r>
      <w:r w:rsidR="00927D1E" w:rsidRPr="00366BF3">
        <w:rPr>
          <w:color w:val="000000" w:themeColor="text1"/>
          <w:szCs w:val="24"/>
        </w:rPr>
        <w:t>une é</w:t>
      </w:r>
      <w:r w:rsidRPr="00366BF3">
        <w:rPr>
          <w:color w:val="000000" w:themeColor="text1"/>
          <w:szCs w:val="24"/>
        </w:rPr>
        <w:t>valu</w:t>
      </w:r>
      <w:r w:rsidR="00927D1E" w:rsidRPr="00366BF3">
        <w:rPr>
          <w:color w:val="000000" w:themeColor="text1"/>
          <w:szCs w:val="24"/>
        </w:rPr>
        <w:t>ation</w:t>
      </w:r>
      <w:r w:rsidRPr="00366BF3">
        <w:rPr>
          <w:color w:val="000000" w:themeColor="text1"/>
          <w:szCs w:val="24"/>
        </w:rPr>
        <w:t xml:space="preserve"> </w:t>
      </w:r>
      <w:r w:rsidR="00927D1E" w:rsidRPr="00366BF3">
        <w:rPr>
          <w:color w:val="000000" w:themeColor="text1"/>
          <w:szCs w:val="24"/>
        </w:rPr>
        <w:t>de</w:t>
      </w:r>
      <w:r w:rsidRPr="00366BF3">
        <w:rPr>
          <w:color w:val="000000" w:themeColor="text1"/>
          <w:szCs w:val="24"/>
        </w:rPr>
        <w:t xml:space="preserve"> </w:t>
      </w:r>
      <w:r w:rsidR="00DF7941">
        <w:rPr>
          <w:color w:val="000000" w:themeColor="text1"/>
          <w:szCs w:val="24"/>
        </w:rPr>
        <w:t xml:space="preserve">la </w:t>
      </w:r>
      <w:r w:rsidRPr="00366BF3">
        <w:rPr>
          <w:color w:val="000000" w:themeColor="text1"/>
          <w:szCs w:val="24"/>
        </w:rPr>
        <w:t xml:space="preserve">performance </w:t>
      </w:r>
      <w:r w:rsidR="00927D1E" w:rsidRPr="00366BF3">
        <w:rPr>
          <w:color w:val="000000" w:themeColor="text1"/>
          <w:szCs w:val="24"/>
        </w:rPr>
        <w:t xml:space="preserve">des PSL </w:t>
      </w:r>
      <w:r w:rsidRPr="00366BF3">
        <w:rPr>
          <w:color w:val="000000" w:themeColor="text1"/>
          <w:szCs w:val="24"/>
        </w:rPr>
        <w:t xml:space="preserve">en nous appuyant sur les sources de VAC révélées lors de nos enquêtes auprès des </w:t>
      </w:r>
      <w:r w:rsidR="00A3744A" w:rsidRPr="00366BF3">
        <w:rPr>
          <w:color w:val="000000" w:themeColor="text1"/>
          <w:szCs w:val="24"/>
        </w:rPr>
        <w:t>industriels</w:t>
      </w:r>
      <w:r w:rsidR="00AF0B8E" w:rsidRPr="00366BF3">
        <w:rPr>
          <w:color w:val="000000" w:themeColor="text1"/>
          <w:szCs w:val="24"/>
        </w:rPr>
        <w:t xml:space="preserve">, pour ensuite leur demander de déterminer les facteurs clés de réussite d’une collaboration avec leurs principaux clients industriels. </w:t>
      </w:r>
      <w:r w:rsidR="00927D1E" w:rsidRPr="00366BF3">
        <w:rPr>
          <w:color w:val="000000" w:themeColor="text1"/>
          <w:szCs w:val="24"/>
        </w:rPr>
        <w:t>Enfin, u</w:t>
      </w:r>
      <w:r w:rsidR="00AF0B8E" w:rsidRPr="00366BF3">
        <w:rPr>
          <w:color w:val="000000" w:themeColor="text1"/>
          <w:szCs w:val="24"/>
        </w:rPr>
        <w:t xml:space="preserve">ne série de questions avait pour objectif de déterminer les principales difficultés rencontrées </w:t>
      </w:r>
      <w:r w:rsidR="00927D1E" w:rsidRPr="00366BF3">
        <w:rPr>
          <w:color w:val="000000" w:themeColor="text1"/>
          <w:szCs w:val="24"/>
        </w:rPr>
        <w:t xml:space="preserve">par les PSL </w:t>
      </w:r>
      <w:r w:rsidR="00AF0B8E" w:rsidRPr="00366BF3">
        <w:rPr>
          <w:color w:val="000000" w:themeColor="text1"/>
          <w:szCs w:val="24"/>
        </w:rPr>
        <w:t>dans leurs relations avec leurs clients industriels et sur quels points port</w:t>
      </w:r>
      <w:r w:rsidR="00A3744A" w:rsidRPr="00366BF3">
        <w:rPr>
          <w:color w:val="000000" w:themeColor="text1"/>
          <w:szCs w:val="24"/>
        </w:rPr>
        <w:t>aient</w:t>
      </w:r>
      <w:r w:rsidR="00AF0B8E" w:rsidRPr="00366BF3">
        <w:rPr>
          <w:color w:val="000000" w:themeColor="text1"/>
          <w:szCs w:val="24"/>
        </w:rPr>
        <w:t xml:space="preserve"> les principales critiques de </w:t>
      </w:r>
      <w:r w:rsidR="00927D1E" w:rsidRPr="00366BF3">
        <w:rPr>
          <w:color w:val="000000" w:themeColor="text1"/>
          <w:szCs w:val="24"/>
        </w:rPr>
        <w:t>ces clients</w:t>
      </w:r>
      <w:r w:rsidR="00AF0B8E" w:rsidRPr="00366BF3">
        <w:rPr>
          <w:color w:val="000000" w:themeColor="text1"/>
          <w:szCs w:val="24"/>
        </w:rPr>
        <w:t>.</w:t>
      </w:r>
      <w:r w:rsidR="00A3744A" w:rsidRPr="00366BF3">
        <w:rPr>
          <w:color w:val="000000" w:themeColor="text1"/>
          <w:szCs w:val="24"/>
        </w:rPr>
        <w:t xml:space="preserve"> </w:t>
      </w:r>
    </w:p>
    <w:p w:rsidR="005949E4" w:rsidRPr="00366BF3" w:rsidRDefault="005949E4" w:rsidP="00281482">
      <w:pPr>
        <w:spacing w:line="480" w:lineRule="auto"/>
        <w:jc w:val="both"/>
        <w:rPr>
          <w:color w:val="000000" w:themeColor="text1"/>
        </w:rPr>
      </w:pPr>
      <w:r w:rsidRPr="00366BF3">
        <w:rPr>
          <w:color w:val="000000" w:themeColor="text1"/>
        </w:rPr>
        <w:lastRenderedPageBreak/>
        <w:t xml:space="preserve">Les résultats présentés ci-dessous portent sur 112 industriels et 59 PSL des régions Bretagne, Normandie et Pays de Loire. </w:t>
      </w:r>
      <w:r w:rsidRPr="00366BF3">
        <w:rPr>
          <w:color w:val="000000" w:themeColor="text1"/>
          <w:szCs w:val="24"/>
        </w:rPr>
        <w:t>Dans la mesure où nous ne détenons pas de base de sondage fiable tant sur les entreprises de l’IAA que sur les PSL, nous avons adopté une méthode non probabiliste qui s’assimile à une méthode d’échantillonnage de convenance</w:t>
      </w:r>
      <w:r w:rsidR="000D3D9E" w:rsidRPr="00366BF3">
        <w:rPr>
          <w:color w:val="000000" w:themeColor="text1"/>
          <w:szCs w:val="24"/>
        </w:rPr>
        <w:t xml:space="preserve"> (Jolibert et Jourdan, 2011)</w:t>
      </w:r>
      <w:r w:rsidRPr="00366BF3">
        <w:rPr>
          <w:color w:val="000000" w:themeColor="text1"/>
          <w:szCs w:val="24"/>
        </w:rPr>
        <w:t>. En effet, en nous appuyant sur les différents annuaires d’entreprises existants nous avons contacté des PSL et des industriels de ces 3 régions et obtenu un taux de réponse de 20% en moyenne sur ces deux échantillons. Le profil de ces deux groupes d’entreprises est présenté dans l’annexe n°</w:t>
      </w:r>
      <w:r w:rsidR="00033BEB" w:rsidRPr="00366BF3">
        <w:rPr>
          <w:color w:val="000000" w:themeColor="text1"/>
          <w:szCs w:val="24"/>
        </w:rPr>
        <w:t>4</w:t>
      </w:r>
      <w:r w:rsidR="004E67F5" w:rsidRPr="00366BF3">
        <w:rPr>
          <w:color w:val="000000" w:themeColor="text1"/>
          <w:szCs w:val="24"/>
        </w:rPr>
        <w:t>.</w:t>
      </w:r>
    </w:p>
    <w:p w:rsidR="00155B1D" w:rsidRPr="00366BF3" w:rsidRDefault="00155B1D" w:rsidP="00281482">
      <w:pPr>
        <w:pStyle w:val="Paragraphedeliste"/>
        <w:spacing w:line="480" w:lineRule="auto"/>
        <w:ind w:left="0"/>
        <w:jc w:val="both"/>
        <w:rPr>
          <w:b/>
          <w:color w:val="000000" w:themeColor="text1"/>
        </w:rPr>
      </w:pPr>
      <w:r w:rsidRPr="00366BF3">
        <w:rPr>
          <w:b/>
          <w:color w:val="000000" w:themeColor="text1"/>
        </w:rPr>
        <w:t xml:space="preserve">2-2- </w:t>
      </w:r>
      <w:r w:rsidR="000471A7" w:rsidRPr="00366BF3">
        <w:rPr>
          <w:b/>
          <w:color w:val="000000" w:themeColor="text1"/>
        </w:rPr>
        <w:t xml:space="preserve">Résultats </w:t>
      </w:r>
    </w:p>
    <w:p w:rsidR="00012180" w:rsidRPr="00366BF3" w:rsidRDefault="00012180" w:rsidP="00281482">
      <w:pPr>
        <w:spacing w:line="480" w:lineRule="auto"/>
        <w:jc w:val="both"/>
        <w:rPr>
          <w:color w:val="000000" w:themeColor="text1"/>
        </w:rPr>
      </w:pPr>
      <w:r w:rsidRPr="00366BF3">
        <w:rPr>
          <w:color w:val="000000" w:themeColor="text1"/>
        </w:rPr>
        <w:t>Notre enqu</w:t>
      </w:r>
      <w:r w:rsidR="00BE084E" w:rsidRPr="00366BF3">
        <w:rPr>
          <w:color w:val="000000" w:themeColor="text1"/>
        </w:rPr>
        <w:t xml:space="preserve">ête empirique met en exergue </w:t>
      </w:r>
      <w:r w:rsidR="00C76CBB" w:rsidRPr="00366BF3">
        <w:rPr>
          <w:color w:val="000000" w:themeColor="text1"/>
        </w:rPr>
        <w:t>trois</w:t>
      </w:r>
      <w:r w:rsidR="00BE084E" w:rsidRPr="00366BF3">
        <w:rPr>
          <w:color w:val="000000" w:themeColor="text1"/>
        </w:rPr>
        <w:t xml:space="preserve"> </w:t>
      </w:r>
      <w:r w:rsidRPr="00366BF3">
        <w:rPr>
          <w:color w:val="000000" w:themeColor="text1"/>
        </w:rPr>
        <w:t>résultats principaux</w:t>
      </w:r>
      <w:r w:rsidR="000471A7" w:rsidRPr="00366BF3">
        <w:rPr>
          <w:color w:val="000000" w:themeColor="text1"/>
        </w:rPr>
        <w:t>.</w:t>
      </w:r>
    </w:p>
    <w:p w:rsidR="00012180" w:rsidRPr="00366BF3" w:rsidRDefault="003C7DBC" w:rsidP="00281482">
      <w:pPr>
        <w:spacing w:after="160" w:line="480" w:lineRule="auto"/>
        <w:jc w:val="both"/>
        <w:rPr>
          <w:bCs/>
          <w:color w:val="000000" w:themeColor="text1"/>
          <w:szCs w:val="24"/>
        </w:rPr>
      </w:pPr>
      <w:r w:rsidRPr="00366BF3">
        <w:rPr>
          <w:b/>
          <w:bCs/>
          <w:color w:val="000000" w:themeColor="text1"/>
          <w:szCs w:val="24"/>
        </w:rPr>
        <w:t>Le premier résultat</w:t>
      </w:r>
      <w:r w:rsidRPr="00366BF3">
        <w:rPr>
          <w:bCs/>
          <w:color w:val="000000" w:themeColor="text1"/>
          <w:szCs w:val="24"/>
        </w:rPr>
        <w:t xml:space="preserve"> concerne l’ordonnancement et l’évolution des sources de VAC reconnues par les industriels sur l’ensemble de l’échantillon et sur les différentes régions (</w:t>
      </w:r>
      <w:r w:rsidRPr="00366BF3">
        <w:rPr>
          <w:bCs/>
          <w:i/>
          <w:color w:val="000000" w:themeColor="text1"/>
          <w:szCs w:val="24"/>
        </w:rPr>
        <w:t>cf.</w:t>
      </w:r>
      <w:r w:rsidRPr="00366BF3">
        <w:rPr>
          <w:bCs/>
          <w:color w:val="000000" w:themeColor="text1"/>
          <w:szCs w:val="24"/>
        </w:rPr>
        <w:t xml:space="preserve"> tableau n°</w:t>
      </w:r>
      <w:r w:rsidR="00C72000" w:rsidRPr="00366BF3">
        <w:rPr>
          <w:bCs/>
          <w:color w:val="000000" w:themeColor="text1"/>
          <w:szCs w:val="24"/>
        </w:rPr>
        <w:t>2</w:t>
      </w:r>
      <w:r w:rsidRPr="00366BF3">
        <w:rPr>
          <w:bCs/>
          <w:color w:val="000000" w:themeColor="text1"/>
          <w:szCs w:val="24"/>
        </w:rPr>
        <w:t>).</w:t>
      </w:r>
    </w:p>
    <w:p w:rsidR="00901F6F" w:rsidRDefault="003C7DBC" w:rsidP="00281482">
      <w:pPr>
        <w:spacing w:after="160" w:line="480" w:lineRule="auto"/>
        <w:jc w:val="both"/>
        <w:rPr>
          <w:color w:val="000000" w:themeColor="text1"/>
          <w:szCs w:val="24"/>
        </w:rPr>
      </w:pPr>
      <w:r w:rsidRPr="00366BF3">
        <w:rPr>
          <w:bCs/>
          <w:color w:val="000000" w:themeColor="text1"/>
          <w:szCs w:val="24"/>
        </w:rPr>
        <w:t>Tout d’abord, nous constatons un classement identique</w:t>
      </w:r>
      <w:r w:rsidR="008A31BC" w:rsidRPr="00366BF3">
        <w:rPr>
          <w:bCs/>
          <w:color w:val="000000" w:themeColor="text1"/>
          <w:szCs w:val="24"/>
        </w:rPr>
        <w:t>, et ce quel que soit la région,</w:t>
      </w:r>
      <w:r w:rsidRPr="00366BF3">
        <w:rPr>
          <w:bCs/>
          <w:color w:val="000000" w:themeColor="text1"/>
          <w:szCs w:val="24"/>
        </w:rPr>
        <w:t xml:space="preserve"> dans l’ordre d’importance </w:t>
      </w:r>
      <w:r w:rsidRPr="00366BF3">
        <w:rPr>
          <w:color w:val="000000" w:themeColor="text1"/>
          <w:szCs w:val="24"/>
        </w:rPr>
        <w:t xml:space="preserve">des items « capacité à réaliser la prestation » </w:t>
      </w:r>
      <w:r w:rsidR="00776FFC" w:rsidRPr="00366BF3">
        <w:rPr>
          <w:i/>
          <w:color w:val="000000" w:themeColor="text1"/>
          <w:szCs w:val="24"/>
        </w:rPr>
        <w:t>(</w:t>
      </w:r>
      <w:r w:rsidRPr="00366BF3">
        <w:rPr>
          <w:i/>
          <w:color w:val="000000" w:themeColor="text1"/>
          <w:szCs w:val="24"/>
        </w:rPr>
        <w:t>15,2 % en 2017)</w:t>
      </w:r>
      <w:r w:rsidRPr="00366BF3">
        <w:rPr>
          <w:color w:val="000000" w:themeColor="text1"/>
          <w:szCs w:val="24"/>
        </w:rPr>
        <w:t xml:space="preserve">, « taux de service » </w:t>
      </w:r>
      <w:r w:rsidRPr="00366BF3">
        <w:rPr>
          <w:i/>
          <w:color w:val="000000" w:themeColor="text1"/>
          <w:szCs w:val="24"/>
        </w:rPr>
        <w:t xml:space="preserve">(14,9 % en 2017) </w:t>
      </w:r>
      <w:r w:rsidRPr="00366BF3">
        <w:rPr>
          <w:color w:val="000000" w:themeColor="text1"/>
          <w:szCs w:val="24"/>
        </w:rPr>
        <w:t xml:space="preserve">et « tarifs » </w:t>
      </w:r>
      <w:r w:rsidRPr="00366BF3">
        <w:rPr>
          <w:i/>
          <w:color w:val="000000" w:themeColor="text1"/>
          <w:szCs w:val="24"/>
        </w:rPr>
        <w:t xml:space="preserve">(13,5% en 2017). </w:t>
      </w:r>
      <w:r w:rsidRPr="00366BF3">
        <w:rPr>
          <w:color w:val="000000" w:themeColor="text1"/>
          <w:szCs w:val="24"/>
        </w:rPr>
        <w:t xml:space="preserve">Ce résultat confirme le fait que le PSL est dans l’obligation de se différencier </w:t>
      </w:r>
      <w:r w:rsidR="002F4011" w:rsidRPr="00366BF3">
        <w:rPr>
          <w:color w:val="000000" w:themeColor="text1"/>
          <w:szCs w:val="24"/>
        </w:rPr>
        <w:t xml:space="preserve">dans son déploiement opérationnel </w:t>
      </w:r>
      <w:r w:rsidRPr="00366BF3">
        <w:rPr>
          <w:color w:val="000000" w:themeColor="text1"/>
          <w:szCs w:val="24"/>
        </w:rPr>
        <w:t>à parti</w:t>
      </w:r>
      <w:r w:rsidR="002F4011" w:rsidRPr="00366BF3">
        <w:rPr>
          <w:color w:val="000000" w:themeColor="text1"/>
          <w:szCs w:val="24"/>
        </w:rPr>
        <w:t>r de ces trois sources de VAC. E</w:t>
      </w:r>
      <w:r w:rsidRPr="00366BF3">
        <w:rPr>
          <w:color w:val="000000" w:themeColor="text1"/>
          <w:szCs w:val="24"/>
        </w:rPr>
        <w:t>lles sont donc le socle sur lequel se construit toute formule de service du PSL dans le domaine du thermo-dirigé</w:t>
      </w:r>
      <w:r w:rsidR="009A748A" w:rsidRPr="00366BF3">
        <w:rPr>
          <w:color w:val="000000" w:themeColor="text1"/>
          <w:szCs w:val="24"/>
        </w:rPr>
        <w:t>.</w:t>
      </w:r>
      <w:r w:rsidR="002F4011" w:rsidRPr="00366BF3">
        <w:rPr>
          <w:color w:val="000000" w:themeColor="text1"/>
          <w:szCs w:val="24"/>
        </w:rPr>
        <w:t xml:space="preserve"> Ainsi, dans sa relation avec le prestataire, l’industriel exige à la fois une disponibilité garantie des moyens de transport et de l’infrastructure tout en proposant des réponses adaptées</w:t>
      </w:r>
      <w:r w:rsidR="00422EF5" w:rsidRPr="00366BF3">
        <w:rPr>
          <w:color w:val="000000" w:themeColor="text1"/>
          <w:szCs w:val="24"/>
        </w:rPr>
        <w:t xml:space="preserve"> à un prix raisonnable</w:t>
      </w:r>
      <w:r w:rsidR="002F4011" w:rsidRPr="00366BF3">
        <w:rPr>
          <w:color w:val="000000" w:themeColor="text1"/>
          <w:szCs w:val="24"/>
        </w:rPr>
        <w:t xml:space="preserve"> dans un contexte logistique s’avérant très exigeant (frac</w:t>
      </w:r>
      <w:r w:rsidR="004E67F5" w:rsidRPr="00366BF3">
        <w:rPr>
          <w:color w:val="000000" w:themeColor="text1"/>
          <w:szCs w:val="24"/>
        </w:rPr>
        <w:t>tionnement en lots périodiques</w:t>
      </w:r>
      <w:r w:rsidR="002F4011" w:rsidRPr="00366BF3">
        <w:rPr>
          <w:color w:val="000000" w:themeColor="text1"/>
          <w:szCs w:val="24"/>
        </w:rPr>
        <w:t xml:space="preserve">, raccourcissement des délais de livraison, </w:t>
      </w:r>
      <w:r w:rsidR="002F4011" w:rsidRPr="00366BF3">
        <w:rPr>
          <w:i/>
          <w:color w:val="000000" w:themeColor="text1"/>
          <w:szCs w:val="24"/>
        </w:rPr>
        <w:t>etc.</w:t>
      </w:r>
      <w:r w:rsidR="002F4011" w:rsidRPr="00366BF3">
        <w:rPr>
          <w:color w:val="000000" w:themeColor="text1"/>
          <w:szCs w:val="24"/>
        </w:rPr>
        <w:t>).</w:t>
      </w:r>
      <w:r w:rsidR="00901F6F">
        <w:rPr>
          <w:color w:val="000000" w:themeColor="text1"/>
          <w:szCs w:val="24"/>
        </w:rPr>
        <w:br w:type="page"/>
      </w:r>
    </w:p>
    <w:tbl>
      <w:tblPr>
        <w:tblW w:w="9406" w:type="dxa"/>
        <w:tblCellMar>
          <w:left w:w="70" w:type="dxa"/>
          <w:right w:w="70" w:type="dxa"/>
        </w:tblCellMar>
        <w:tblLook w:val="04A0" w:firstRow="1" w:lastRow="0" w:firstColumn="1" w:lastColumn="0" w:noHBand="0" w:noVBand="1"/>
      </w:tblPr>
      <w:tblGrid>
        <w:gridCol w:w="1838"/>
        <w:gridCol w:w="634"/>
        <w:gridCol w:w="634"/>
        <w:gridCol w:w="624"/>
        <w:gridCol w:w="634"/>
        <w:gridCol w:w="634"/>
        <w:gridCol w:w="624"/>
        <w:gridCol w:w="634"/>
        <w:gridCol w:w="634"/>
        <w:gridCol w:w="624"/>
        <w:gridCol w:w="634"/>
        <w:gridCol w:w="634"/>
        <w:gridCol w:w="624"/>
      </w:tblGrid>
      <w:tr w:rsidR="00901F6F" w:rsidRPr="00F83E38" w:rsidTr="007E1D5A">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F6F" w:rsidRPr="00F83E38" w:rsidRDefault="00901F6F" w:rsidP="007E1D5A">
            <w:pPr>
              <w:rPr>
                <w:color w:val="000000" w:themeColor="text1"/>
                <w:sz w:val="16"/>
                <w:szCs w:val="16"/>
              </w:rPr>
            </w:pPr>
            <w:r w:rsidRPr="00F83E38">
              <w:rPr>
                <w:color w:val="000000" w:themeColor="text1"/>
                <w:sz w:val="16"/>
                <w:szCs w:val="16"/>
              </w:rPr>
              <w:lastRenderedPageBreak/>
              <w:t> </w:t>
            </w:r>
          </w:p>
        </w:tc>
        <w:tc>
          <w:tcPr>
            <w:tcW w:w="189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01F6F" w:rsidRPr="00F83E38" w:rsidRDefault="00901F6F" w:rsidP="007E1D5A">
            <w:pPr>
              <w:jc w:val="center"/>
              <w:rPr>
                <w:b/>
                <w:color w:val="000000" w:themeColor="text1"/>
                <w:sz w:val="16"/>
                <w:szCs w:val="16"/>
              </w:rPr>
            </w:pPr>
            <w:r w:rsidRPr="00F83E38">
              <w:rPr>
                <w:b/>
                <w:color w:val="000000" w:themeColor="text1"/>
                <w:sz w:val="16"/>
                <w:szCs w:val="16"/>
              </w:rPr>
              <w:t>Grand Ouest</w:t>
            </w:r>
          </w:p>
        </w:tc>
        <w:tc>
          <w:tcPr>
            <w:tcW w:w="189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01F6F" w:rsidRPr="00F83E38" w:rsidRDefault="00901F6F" w:rsidP="007E1D5A">
            <w:pPr>
              <w:jc w:val="center"/>
              <w:rPr>
                <w:b/>
                <w:color w:val="000000" w:themeColor="text1"/>
                <w:sz w:val="16"/>
                <w:szCs w:val="16"/>
              </w:rPr>
            </w:pPr>
            <w:r w:rsidRPr="00F83E38">
              <w:rPr>
                <w:b/>
                <w:color w:val="000000" w:themeColor="text1"/>
                <w:sz w:val="16"/>
                <w:szCs w:val="16"/>
              </w:rPr>
              <w:t>Bretagne</w:t>
            </w:r>
          </w:p>
        </w:tc>
        <w:tc>
          <w:tcPr>
            <w:tcW w:w="189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01F6F" w:rsidRPr="00F83E38" w:rsidRDefault="00901F6F" w:rsidP="007E1D5A">
            <w:pPr>
              <w:jc w:val="center"/>
              <w:rPr>
                <w:b/>
                <w:color w:val="000000" w:themeColor="text1"/>
                <w:sz w:val="16"/>
                <w:szCs w:val="16"/>
              </w:rPr>
            </w:pPr>
            <w:r w:rsidRPr="00F83E38">
              <w:rPr>
                <w:b/>
                <w:color w:val="000000" w:themeColor="text1"/>
                <w:sz w:val="16"/>
                <w:szCs w:val="16"/>
              </w:rPr>
              <w:t>Normandie</w:t>
            </w:r>
          </w:p>
        </w:tc>
        <w:tc>
          <w:tcPr>
            <w:tcW w:w="189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01F6F" w:rsidRPr="00F83E38" w:rsidRDefault="00901F6F" w:rsidP="007E1D5A">
            <w:pPr>
              <w:jc w:val="center"/>
              <w:rPr>
                <w:b/>
                <w:color w:val="000000" w:themeColor="text1"/>
                <w:sz w:val="16"/>
                <w:szCs w:val="16"/>
              </w:rPr>
            </w:pPr>
            <w:r w:rsidRPr="00F83E38">
              <w:rPr>
                <w:b/>
                <w:color w:val="000000" w:themeColor="text1"/>
                <w:sz w:val="16"/>
                <w:szCs w:val="16"/>
              </w:rPr>
              <w:t>Pays de la Loire</w:t>
            </w:r>
          </w:p>
        </w:tc>
      </w:tr>
      <w:tr w:rsidR="00901F6F" w:rsidRPr="00F83E38" w:rsidTr="007E1D5A">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b/>
                <w:bCs/>
                <w:color w:val="000000" w:themeColor="text1"/>
                <w:sz w:val="16"/>
                <w:szCs w:val="16"/>
              </w:rPr>
              <w:t>Poids des sources de VAC</w:t>
            </w:r>
          </w:p>
        </w:tc>
        <w:tc>
          <w:tcPr>
            <w:tcW w:w="634" w:type="dxa"/>
            <w:tcBorders>
              <w:top w:val="nil"/>
              <w:left w:val="nil"/>
              <w:bottom w:val="nil"/>
              <w:right w:val="nil"/>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2014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2016</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2017</w:t>
            </w:r>
          </w:p>
        </w:tc>
        <w:tc>
          <w:tcPr>
            <w:tcW w:w="634" w:type="dxa"/>
            <w:tcBorders>
              <w:top w:val="nil"/>
              <w:left w:val="nil"/>
              <w:bottom w:val="nil"/>
              <w:right w:val="nil"/>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2014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2016</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2017</w:t>
            </w:r>
          </w:p>
        </w:tc>
        <w:tc>
          <w:tcPr>
            <w:tcW w:w="634" w:type="dxa"/>
            <w:tcBorders>
              <w:top w:val="nil"/>
              <w:left w:val="nil"/>
              <w:bottom w:val="nil"/>
              <w:right w:val="nil"/>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2014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2016</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2017</w:t>
            </w:r>
          </w:p>
        </w:tc>
        <w:tc>
          <w:tcPr>
            <w:tcW w:w="634" w:type="dxa"/>
            <w:tcBorders>
              <w:top w:val="nil"/>
              <w:left w:val="nil"/>
              <w:bottom w:val="nil"/>
              <w:right w:val="nil"/>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2014</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2016</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901F6F" w:rsidRPr="00F83E38" w:rsidRDefault="00901F6F" w:rsidP="007E1D5A">
            <w:pPr>
              <w:tabs>
                <w:tab w:val="left" w:pos="1231"/>
              </w:tabs>
              <w:jc w:val="center"/>
              <w:rPr>
                <w:color w:val="000000" w:themeColor="text1"/>
                <w:sz w:val="16"/>
                <w:szCs w:val="16"/>
              </w:rPr>
            </w:pPr>
            <w:r w:rsidRPr="00F83E38">
              <w:rPr>
                <w:color w:val="000000" w:themeColor="text1"/>
                <w:sz w:val="16"/>
                <w:szCs w:val="16"/>
              </w:rPr>
              <w:t>2017</w:t>
            </w:r>
          </w:p>
        </w:tc>
      </w:tr>
      <w:tr w:rsidR="00901F6F" w:rsidRPr="00F83E38" w:rsidTr="007E1D5A">
        <w:trPr>
          <w:trHeight w:val="428"/>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01F6F" w:rsidRPr="00F83E38" w:rsidRDefault="00901F6F" w:rsidP="007E1D5A">
            <w:pPr>
              <w:jc w:val="center"/>
              <w:rPr>
                <w:b/>
                <w:bCs/>
                <w:color w:val="000000" w:themeColor="text1"/>
                <w:sz w:val="16"/>
                <w:szCs w:val="16"/>
              </w:rPr>
            </w:pPr>
            <w:r w:rsidRPr="00F83E38">
              <w:rPr>
                <w:b/>
                <w:bCs/>
                <w:color w:val="000000" w:themeColor="text1"/>
                <w:sz w:val="16"/>
                <w:szCs w:val="16"/>
              </w:rPr>
              <w:t>Capacité à réaliser la prestation</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16,90%</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17,34%</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15,2%</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17,30%</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17,93%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14,5%</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18,30%</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16,96%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14,7%</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15,90%</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17,22%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01F6F" w:rsidRPr="00F83E38" w:rsidRDefault="00901F6F" w:rsidP="007E1D5A">
            <w:pPr>
              <w:tabs>
                <w:tab w:val="left" w:pos="1231"/>
              </w:tabs>
              <w:jc w:val="center"/>
              <w:rPr>
                <w:color w:val="000000" w:themeColor="text1"/>
                <w:sz w:val="16"/>
                <w:szCs w:val="16"/>
              </w:rPr>
            </w:pPr>
            <w:r w:rsidRPr="00F83E38">
              <w:rPr>
                <w:color w:val="000000" w:themeColor="text1"/>
                <w:sz w:val="16"/>
                <w:szCs w:val="16"/>
              </w:rPr>
              <w:t>15,2%</w:t>
            </w:r>
          </w:p>
        </w:tc>
      </w:tr>
      <w:tr w:rsidR="00901F6F" w:rsidRPr="00F83E38" w:rsidTr="007E1D5A">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01F6F" w:rsidRPr="00F83E38" w:rsidRDefault="00901F6F" w:rsidP="007E1D5A">
            <w:pPr>
              <w:jc w:val="center"/>
              <w:rPr>
                <w:b/>
                <w:bCs/>
                <w:color w:val="000000" w:themeColor="text1"/>
                <w:sz w:val="16"/>
                <w:szCs w:val="16"/>
              </w:rPr>
            </w:pPr>
            <w:r w:rsidRPr="00F83E38">
              <w:rPr>
                <w:b/>
                <w:bCs/>
                <w:color w:val="000000" w:themeColor="text1"/>
                <w:sz w:val="16"/>
                <w:szCs w:val="16"/>
              </w:rPr>
              <w:t>Taux de service</w:t>
            </w:r>
          </w:p>
        </w:tc>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15,20%</w:t>
            </w:r>
          </w:p>
        </w:tc>
        <w:tc>
          <w:tcPr>
            <w:tcW w:w="634" w:type="dxa"/>
            <w:tcBorders>
              <w:top w:val="nil"/>
              <w:left w:val="nil"/>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16,73%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14,9%</w:t>
            </w:r>
          </w:p>
        </w:tc>
        <w:tc>
          <w:tcPr>
            <w:tcW w:w="634" w:type="dxa"/>
            <w:tcBorders>
              <w:top w:val="nil"/>
              <w:left w:val="single" w:sz="4" w:space="0" w:color="auto"/>
              <w:bottom w:val="single" w:sz="4" w:space="0" w:color="auto"/>
              <w:right w:val="single" w:sz="4" w:space="0" w:color="auto"/>
            </w:tcBorders>
            <w:shd w:val="clear" w:color="auto" w:fill="auto"/>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15,20%</w:t>
            </w:r>
          </w:p>
        </w:tc>
        <w:tc>
          <w:tcPr>
            <w:tcW w:w="634" w:type="dxa"/>
            <w:tcBorders>
              <w:top w:val="nil"/>
              <w:left w:val="nil"/>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17,13%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13,6%</w:t>
            </w:r>
          </w:p>
        </w:tc>
        <w:tc>
          <w:tcPr>
            <w:tcW w:w="634" w:type="dxa"/>
            <w:tcBorders>
              <w:top w:val="nil"/>
              <w:left w:val="single" w:sz="4" w:space="0" w:color="auto"/>
              <w:bottom w:val="single" w:sz="4" w:space="0" w:color="auto"/>
              <w:right w:val="single" w:sz="4" w:space="0" w:color="auto"/>
            </w:tcBorders>
            <w:shd w:val="clear" w:color="auto" w:fill="auto"/>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14,7%</w:t>
            </w:r>
          </w:p>
        </w:tc>
        <w:tc>
          <w:tcPr>
            <w:tcW w:w="634" w:type="dxa"/>
            <w:tcBorders>
              <w:top w:val="nil"/>
              <w:left w:val="nil"/>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15,87%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14,1%</w:t>
            </w:r>
          </w:p>
        </w:tc>
        <w:tc>
          <w:tcPr>
            <w:tcW w:w="634" w:type="dxa"/>
            <w:tcBorders>
              <w:top w:val="nil"/>
              <w:left w:val="single" w:sz="4" w:space="0" w:color="auto"/>
              <w:bottom w:val="single" w:sz="4" w:space="0" w:color="auto"/>
              <w:right w:val="single" w:sz="4" w:space="0" w:color="auto"/>
            </w:tcBorders>
            <w:shd w:val="clear" w:color="auto" w:fill="auto"/>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15,40%</w:t>
            </w:r>
          </w:p>
        </w:tc>
        <w:tc>
          <w:tcPr>
            <w:tcW w:w="634" w:type="dxa"/>
            <w:tcBorders>
              <w:top w:val="nil"/>
              <w:left w:val="nil"/>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17,22%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01F6F" w:rsidRPr="00F83E38" w:rsidRDefault="00901F6F" w:rsidP="007E1D5A">
            <w:pPr>
              <w:tabs>
                <w:tab w:val="left" w:pos="1231"/>
              </w:tabs>
              <w:jc w:val="center"/>
              <w:rPr>
                <w:color w:val="000000" w:themeColor="text1"/>
                <w:sz w:val="16"/>
                <w:szCs w:val="16"/>
              </w:rPr>
            </w:pPr>
            <w:r w:rsidRPr="00F83E38">
              <w:rPr>
                <w:color w:val="000000" w:themeColor="text1"/>
                <w:sz w:val="16"/>
                <w:szCs w:val="16"/>
              </w:rPr>
              <w:t>14,4%</w:t>
            </w:r>
          </w:p>
        </w:tc>
      </w:tr>
      <w:tr w:rsidR="00901F6F" w:rsidRPr="00F83E38" w:rsidTr="007E1D5A">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01F6F" w:rsidRPr="00F83E38" w:rsidRDefault="00901F6F" w:rsidP="007E1D5A">
            <w:pPr>
              <w:jc w:val="center"/>
              <w:rPr>
                <w:b/>
                <w:bCs/>
                <w:color w:val="000000" w:themeColor="text1"/>
                <w:sz w:val="16"/>
                <w:szCs w:val="16"/>
              </w:rPr>
            </w:pPr>
            <w:r w:rsidRPr="00F83E38">
              <w:rPr>
                <w:b/>
                <w:bCs/>
                <w:color w:val="000000" w:themeColor="text1"/>
                <w:sz w:val="16"/>
                <w:szCs w:val="16"/>
              </w:rPr>
              <w:t>Tarifs proposés</w:t>
            </w:r>
          </w:p>
        </w:tc>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15,00%</w:t>
            </w:r>
          </w:p>
        </w:tc>
        <w:tc>
          <w:tcPr>
            <w:tcW w:w="634" w:type="dxa"/>
            <w:tcBorders>
              <w:top w:val="nil"/>
              <w:left w:val="nil"/>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15,33%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13,5%</w:t>
            </w:r>
          </w:p>
        </w:tc>
        <w:tc>
          <w:tcPr>
            <w:tcW w:w="634" w:type="dxa"/>
            <w:tcBorders>
              <w:top w:val="nil"/>
              <w:left w:val="single" w:sz="4" w:space="0" w:color="auto"/>
              <w:bottom w:val="single" w:sz="4" w:space="0" w:color="auto"/>
              <w:right w:val="single" w:sz="4" w:space="0" w:color="auto"/>
            </w:tcBorders>
            <w:shd w:val="clear" w:color="auto" w:fill="auto"/>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14,80%</w:t>
            </w:r>
          </w:p>
        </w:tc>
        <w:tc>
          <w:tcPr>
            <w:tcW w:w="634" w:type="dxa"/>
            <w:tcBorders>
              <w:top w:val="nil"/>
              <w:left w:val="nil"/>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14,84%</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12,9%</w:t>
            </w:r>
          </w:p>
        </w:tc>
        <w:tc>
          <w:tcPr>
            <w:tcW w:w="634" w:type="dxa"/>
            <w:tcBorders>
              <w:top w:val="nil"/>
              <w:left w:val="single" w:sz="4" w:space="0" w:color="auto"/>
              <w:bottom w:val="single" w:sz="4" w:space="0" w:color="auto"/>
              <w:right w:val="single" w:sz="4" w:space="0" w:color="auto"/>
            </w:tcBorders>
            <w:shd w:val="clear" w:color="auto" w:fill="auto"/>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16,9%</w:t>
            </w:r>
          </w:p>
        </w:tc>
        <w:tc>
          <w:tcPr>
            <w:tcW w:w="634" w:type="dxa"/>
            <w:tcBorders>
              <w:top w:val="nil"/>
              <w:left w:val="nil"/>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15,59%</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12,9%</w:t>
            </w:r>
          </w:p>
        </w:tc>
        <w:tc>
          <w:tcPr>
            <w:tcW w:w="634" w:type="dxa"/>
            <w:tcBorders>
              <w:top w:val="nil"/>
              <w:left w:val="single" w:sz="4" w:space="0" w:color="auto"/>
              <w:bottom w:val="single" w:sz="4" w:space="0" w:color="auto"/>
              <w:right w:val="single" w:sz="4" w:space="0" w:color="auto"/>
            </w:tcBorders>
            <w:shd w:val="clear" w:color="auto" w:fill="auto"/>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14,50%</w:t>
            </w:r>
          </w:p>
        </w:tc>
        <w:tc>
          <w:tcPr>
            <w:tcW w:w="634" w:type="dxa"/>
            <w:tcBorders>
              <w:top w:val="nil"/>
              <w:left w:val="nil"/>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15,48%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01F6F" w:rsidRPr="00F83E38" w:rsidRDefault="00901F6F" w:rsidP="007E1D5A">
            <w:pPr>
              <w:tabs>
                <w:tab w:val="left" w:pos="1231"/>
              </w:tabs>
              <w:jc w:val="center"/>
              <w:rPr>
                <w:color w:val="000000" w:themeColor="text1"/>
                <w:sz w:val="16"/>
                <w:szCs w:val="16"/>
              </w:rPr>
            </w:pPr>
            <w:r w:rsidRPr="00F83E38">
              <w:rPr>
                <w:color w:val="000000" w:themeColor="text1"/>
                <w:sz w:val="16"/>
                <w:szCs w:val="16"/>
              </w:rPr>
              <w:t>13,4%</w:t>
            </w:r>
          </w:p>
        </w:tc>
      </w:tr>
      <w:tr w:rsidR="00901F6F" w:rsidRPr="00F83E38" w:rsidTr="007E1D5A">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01F6F" w:rsidRPr="00F83E38" w:rsidRDefault="00901F6F" w:rsidP="007E1D5A">
            <w:pPr>
              <w:jc w:val="center"/>
              <w:rPr>
                <w:b/>
                <w:bCs/>
                <w:color w:val="000000" w:themeColor="text1"/>
                <w:sz w:val="16"/>
                <w:szCs w:val="16"/>
              </w:rPr>
            </w:pPr>
            <w:r w:rsidRPr="00F83E38">
              <w:rPr>
                <w:b/>
                <w:bCs/>
                <w:color w:val="000000" w:themeColor="text1"/>
                <w:sz w:val="16"/>
                <w:szCs w:val="16"/>
              </w:rPr>
              <w:t>Expertise technique</w:t>
            </w:r>
          </w:p>
        </w:tc>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9,4%</w:t>
            </w:r>
          </w:p>
        </w:tc>
        <w:tc>
          <w:tcPr>
            <w:tcW w:w="634" w:type="dxa"/>
            <w:tcBorders>
              <w:top w:val="nil"/>
              <w:left w:val="nil"/>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10,76%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11,1%</w:t>
            </w:r>
          </w:p>
        </w:tc>
        <w:tc>
          <w:tcPr>
            <w:tcW w:w="634" w:type="dxa"/>
            <w:tcBorders>
              <w:top w:val="nil"/>
              <w:left w:val="single" w:sz="4" w:space="0" w:color="auto"/>
              <w:bottom w:val="single" w:sz="4" w:space="0" w:color="auto"/>
              <w:right w:val="single" w:sz="4" w:space="0" w:color="auto"/>
            </w:tcBorders>
            <w:shd w:val="clear" w:color="auto" w:fill="auto"/>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9,2%</w:t>
            </w:r>
          </w:p>
        </w:tc>
        <w:tc>
          <w:tcPr>
            <w:tcW w:w="634" w:type="dxa"/>
            <w:tcBorders>
              <w:top w:val="nil"/>
              <w:left w:val="nil"/>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11,28%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11,2%</w:t>
            </w:r>
          </w:p>
        </w:tc>
        <w:tc>
          <w:tcPr>
            <w:tcW w:w="634" w:type="dxa"/>
            <w:tcBorders>
              <w:top w:val="nil"/>
              <w:left w:val="single" w:sz="4" w:space="0" w:color="auto"/>
              <w:bottom w:val="single" w:sz="4" w:space="0" w:color="auto"/>
              <w:right w:val="single" w:sz="4" w:space="0" w:color="auto"/>
            </w:tcBorders>
            <w:shd w:val="clear" w:color="auto" w:fill="auto"/>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5,8%</w:t>
            </w:r>
          </w:p>
        </w:tc>
        <w:tc>
          <w:tcPr>
            <w:tcW w:w="634" w:type="dxa"/>
            <w:tcBorders>
              <w:top w:val="nil"/>
              <w:left w:val="nil"/>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10,74%</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11,6%</w:t>
            </w:r>
          </w:p>
        </w:tc>
        <w:tc>
          <w:tcPr>
            <w:tcW w:w="634" w:type="dxa"/>
            <w:tcBorders>
              <w:top w:val="nil"/>
              <w:left w:val="single" w:sz="4" w:space="0" w:color="auto"/>
              <w:bottom w:val="single" w:sz="4" w:space="0" w:color="auto"/>
              <w:right w:val="single" w:sz="4" w:space="0" w:color="auto"/>
            </w:tcBorders>
            <w:shd w:val="clear" w:color="auto" w:fill="auto"/>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11,00%</w:t>
            </w:r>
          </w:p>
        </w:tc>
        <w:tc>
          <w:tcPr>
            <w:tcW w:w="634" w:type="dxa"/>
            <w:tcBorders>
              <w:top w:val="nil"/>
              <w:left w:val="nil"/>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10,26%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01F6F" w:rsidRPr="00F83E38" w:rsidRDefault="00901F6F" w:rsidP="007E1D5A">
            <w:pPr>
              <w:tabs>
                <w:tab w:val="left" w:pos="1231"/>
              </w:tabs>
              <w:jc w:val="center"/>
              <w:rPr>
                <w:color w:val="000000" w:themeColor="text1"/>
                <w:sz w:val="16"/>
                <w:szCs w:val="16"/>
              </w:rPr>
            </w:pPr>
            <w:r w:rsidRPr="00F83E38">
              <w:rPr>
                <w:color w:val="000000" w:themeColor="text1"/>
                <w:sz w:val="16"/>
                <w:szCs w:val="16"/>
              </w:rPr>
              <w:t>11,0%</w:t>
            </w:r>
          </w:p>
        </w:tc>
      </w:tr>
      <w:tr w:rsidR="00901F6F" w:rsidRPr="00F83E38" w:rsidTr="007E1D5A">
        <w:trPr>
          <w:trHeight w:val="60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01F6F" w:rsidRPr="00F83E38" w:rsidRDefault="00901F6F" w:rsidP="007E1D5A">
            <w:pPr>
              <w:jc w:val="center"/>
              <w:rPr>
                <w:b/>
                <w:bCs/>
                <w:color w:val="000000" w:themeColor="text1"/>
                <w:sz w:val="16"/>
                <w:szCs w:val="16"/>
              </w:rPr>
            </w:pPr>
            <w:r w:rsidRPr="00F83E38">
              <w:rPr>
                <w:b/>
                <w:bCs/>
                <w:color w:val="000000" w:themeColor="text1"/>
                <w:sz w:val="16"/>
                <w:szCs w:val="16"/>
              </w:rPr>
              <w:t>Qualité relationnelle et commerciale avec l’entreprise</w:t>
            </w:r>
          </w:p>
        </w:tc>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11,8%</w:t>
            </w:r>
          </w:p>
        </w:tc>
        <w:tc>
          <w:tcPr>
            <w:tcW w:w="634" w:type="dxa"/>
            <w:tcBorders>
              <w:top w:val="nil"/>
              <w:left w:val="nil"/>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10,74%</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11,5%</w:t>
            </w:r>
          </w:p>
        </w:tc>
        <w:tc>
          <w:tcPr>
            <w:tcW w:w="634" w:type="dxa"/>
            <w:tcBorders>
              <w:top w:val="nil"/>
              <w:left w:val="single" w:sz="4" w:space="0" w:color="auto"/>
              <w:bottom w:val="single" w:sz="4" w:space="0" w:color="auto"/>
              <w:right w:val="single" w:sz="4" w:space="0" w:color="auto"/>
            </w:tcBorders>
            <w:shd w:val="clear" w:color="auto" w:fill="auto"/>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12%</w:t>
            </w:r>
          </w:p>
        </w:tc>
        <w:tc>
          <w:tcPr>
            <w:tcW w:w="634" w:type="dxa"/>
            <w:tcBorders>
              <w:top w:val="nil"/>
              <w:left w:val="nil"/>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9,94%</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11,5%</w:t>
            </w:r>
          </w:p>
        </w:tc>
        <w:tc>
          <w:tcPr>
            <w:tcW w:w="634" w:type="dxa"/>
            <w:tcBorders>
              <w:top w:val="nil"/>
              <w:left w:val="single" w:sz="4" w:space="0" w:color="auto"/>
              <w:bottom w:val="single" w:sz="4" w:space="0" w:color="auto"/>
              <w:right w:val="single" w:sz="4" w:space="0" w:color="auto"/>
            </w:tcBorders>
            <w:shd w:val="clear" w:color="auto" w:fill="auto"/>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13,00%</w:t>
            </w:r>
          </w:p>
        </w:tc>
        <w:tc>
          <w:tcPr>
            <w:tcW w:w="634" w:type="dxa"/>
            <w:tcBorders>
              <w:top w:val="nil"/>
              <w:left w:val="nil"/>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11,23%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11,5%</w:t>
            </w:r>
          </w:p>
        </w:tc>
        <w:tc>
          <w:tcPr>
            <w:tcW w:w="634" w:type="dxa"/>
            <w:tcBorders>
              <w:top w:val="nil"/>
              <w:left w:val="single" w:sz="4" w:space="0" w:color="auto"/>
              <w:bottom w:val="single" w:sz="4" w:space="0" w:color="auto"/>
              <w:right w:val="single" w:sz="4" w:space="0" w:color="auto"/>
            </w:tcBorders>
            <w:shd w:val="clear" w:color="auto" w:fill="auto"/>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11,00%</w:t>
            </w:r>
          </w:p>
        </w:tc>
        <w:tc>
          <w:tcPr>
            <w:tcW w:w="634" w:type="dxa"/>
            <w:tcBorders>
              <w:top w:val="nil"/>
              <w:left w:val="nil"/>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10,90%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01F6F" w:rsidRPr="00F83E38" w:rsidRDefault="00901F6F" w:rsidP="007E1D5A">
            <w:pPr>
              <w:tabs>
                <w:tab w:val="left" w:pos="1231"/>
              </w:tabs>
              <w:jc w:val="center"/>
              <w:rPr>
                <w:color w:val="000000" w:themeColor="text1"/>
                <w:sz w:val="16"/>
                <w:szCs w:val="16"/>
              </w:rPr>
            </w:pPr>
            <w:r w:rsidRPr="00F83E38">
              <w:rPr>
                <w:color w:val="000000" w:themeColor="text1"/>
                <w:sz w:val="16"/>
                <w:szCs w:val="16"/>
              </w:rPr>
              <w:t>11,5%</w:t>
            </w:r>
          </w:p>
        </w:tc>
      </w:tr>
      <w:tr w:rsidR="00901F6F" w:rsidRPr="00F83E38" w:rsidTr="007E1D5A">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01F6F" w:rsidRPr="00F83E38" w:rsidRDefault="00901F6F" w:rsidP="007E1D5A">
            <w:pPr>
              <w:jc w:val="center"/>
              <w:rPr>
                <w:b/>
                <w:bCs/>
                <w:color w:val="000000" w:themeColor="text1"/>
                <w:sz w:val="16"/>
                <w:szCs w:val="16"/>
              </w:rPr>
            </w:pPr>
            <w:r w:rsidRPr="00F83E38">
              <w:rPr>
                <w:b/>
                <w:bCs/>
                <w:color w:val="000000" w:themeColor="text1"/>
                <w:sz w:val="16"/>
                <w:szCs w:val="16"/>
              </w:rPr>
              <w:t>Maîtrise du territoire</w:t>
            </w:r>
          </w:p>
        </w:tc>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10,3%</w:t>
            </w:r>
          </w:p>
        </w:tc>
        <w:tc>
          <w:tcPr>
            <w:tcW w:w="634" w:type="dxa"/>
            <w:tcBorders>
              <w:top w:val="nil"/>
              <w:left w:val="nil"/>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11,15%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10,6%</w:t>
            </w:r>
          </w:p>
        </w:tc>
        <w:tc>
          <w:tcPr>
            <w:tcW w:w="634" w:type="dxa"/>
            <w:tcBorders>
              <w:top w:val="nil"/>
              <w:left w:val="single" w:sz="4" w:space="0" w:color="auto"/>
              <w:bottom w:val="single" w:sz="4" w:space="0" w:color="auto"/>
              <w:right w:val="single" w:sz="4" w:space="0" w:color="auto"/>
            </w:tcBorders>
            <w:shd w:val="clear" w:color="auto" w:fill="auto"/>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10,6%</w:t>
            </w:r>
          </w:p>
        </w:tc>
        <w:tc>
          <w:tcPr>
            <w:tcW w:w="634" w:type="dxa"/>
            <w:tcBorders>
              <w:top w:val="nil"/>
              <w:left w:val="nil"/>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12,36%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10,5%</w:t>
            </w:r>
          </w:p>
        </w:tc>
        <w:tc>
          <w:tcPr>
            <w:tcW w:w="634" w:type="dxa"/>
            <w:tcBorders>
              <w:top w:val="nil"/>
              <w:left w:val="single" w:sz="4" w:space="0" w:color="auto"/>
              <w:bottom w:val="single" w:sz="4" w:space="0" w:color="auto"/>
              <w:right w:val="single" w:sz="4" w:space="0" w:color="auto"/>
            </w:tcBorders>
            <w:shd w:val="clear" w:color="auto" w:fill="auto"/>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11,4%</w:t>
            </w:r>
          </w:p>
        </w:tc>
        <w:tc>
          <w:tcPr>
            <w:tcW w:w="634" w:type="dxa"/>
            <w:tcBorders>
              <w:top w:val="nil"/>
              <w:left w:val="nil"/>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10,36%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10,5%</w:t>
            </w:r>
          </w:p>
        </w:tc>
        <w:tc>
          <w:tcPr>
            <w:tcW w:w="634" w:type="dxa"/>
            <w:tcBorders>
              <w:top w:val="nil"/>
              <w:left w:val="single" w:sz="4" w:space="0" w:color="auto"/>
              <w:bottom w:val="single" w:sz="4" w:space="0" w:color="auto"/>
              <w:right w:val="single" w:sz="4" w:space="0" w:color="auto"/>
            </w:tcBorders>
            <w:shd w:val="clear" w:color="auto" w:fill="auto"/>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9,4%</w:t>
            </w:r>
          </w:p>
        </w:tc>
        <w:tc>
          <w:tcPr>
            <w:tcW w:w="634" w:type="dxa"/>
            <w:tcBorders>
              <w:top w:val="nil"/>
              <w:left w:val="nil"/>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11,07%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01F6F" w:rsidRPr="00F83E38" w:rsidRDefault="00901F6F" w:rsidP="007E1D5A">
            <w:pPr>
              <w:tabs>
                <w:tab w:val="left" w:pos="1231"/>
              </w:tabs>
              <w:jc w:val="center"/>
              <w:rPr>
                <w:color w:val="000000" w:themeColor="text1"/>
                <w:sz w:val="16"/>
                <w:szCs w:val="16"/>
              </w:rPr>
            </w:pPr>
            <w:r w:rsidRPr="00F83E38">
              <w:rPr>
                <w:color w:val="000000" w:themeColor="text1"/>
                <w:sz w:val="16"/>
                <w:szCs w:val="16"/>
              </w:rPr>
              <w:t>10,8%</w:t>
            </w:r>
          </w:p>
        </w:tc>
      </w:tr>
      <w:tr w:rsidR="00901F6F" w:rsidRPr="00F83E38" w:rsidTr="007E1D5A">
        <w:trPr>
          <w:trHeight w:val="60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01F6F" w:rsidRPr="00F83E38" w:rsidRDefault="00901F6F" w:rsidP="007E1D5A">
            <w:pPr>
              <w:jc w:val="center"/>
              <w:rPr>
                <w:b/>
                <w:bCs/>
                <w:color w:val="000000" w:themeColor="text1"/>
                <w:sz w:val="16"/>
                <w:szCs w:val="16"/>
              </w:rPr>
            </w:pPr>
            <w:r w:rsidRPr="00F83E38">
              <w:rPr>
                <w:b/>
                <w:bCs/>
                <w:color w:val="000000" w:themeColor="text1"/>
                <w:sz w:val="16"/>
                <w:szCs w:val="16"/>
              </w:rPr>
              <w:t>Systèmes d’informations mis à disposition</w:t>
            </w:r>
          </w:p>
        </w:tc>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8,80%</w:t>
            </w:r>
          </w:p>
        </w:tc>
        <w:tc>
          <w:tcPr>
            <w:tcW w:w="634" w:type="dxa"/>
            <w:tcBorders>
              <w:top w:val="nil"/>
              <w:left w:val="nil"/>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8,40%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9,7%</w:t>
            </w:r>
          </w:p>
        </w:tc>
        <w:tc>
          <w:tcPr>
            <w:tcW w:w="634" w:type="dxa"/>
            <w:tcBorders>
              <w:top w:val="nil"/>
              <w:left w:val="single" w:sz="4" w:space="0" w:color="auto"/>
              <w:bottom w:val="single" w:sz="4" w:space="0" w:color="auto"/>
              <w:right w:val="single" w:sz="4" w:space="0" w:color="auto"/>
            </w:tcBorders>
            <w:shd w:val="clear" w:color="auto" w:fill="auto"/>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8,80%</w:t>
            </w:r>
          </w:p>
        </w:tc>
        <w:tc>
          <w:tcPr>
            <w:tcW w:w="634" w:type="dxa"/>
            <w:tcBorders>
              <w:top w:val="nil"/>
              <w:left w:val="nil"/>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7,52%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10,2%</w:t>
            </w:r>
          </w:p>
        </w:tc>
        <w:tc>
          <w:tcPr>
            <w:tcW w:w="634" w:type="dxa"/>
            <w:tcBorders>
              <w:top w:val="nil"/>
              <w:left w:val="single" w:sz="4" w:space="0" w:color="auto"/>
              <w:bottom w:val="single" w:sz="4" w:space="0" w:color="auto"/>
              <w:right w:val="single" w:sz="4" w:space="0" w:color="auto"/>
            </w:tcBorders>
            <w:shd w:val="clear" w:color="auto" w:fill="auto"/>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6,90%</w:t>
            </w:r>
          </w:p>
        </w:tc>
        <w:tc>
          <w:tcPr>
            <w:tcW w:w="634" w:type="dxa"/>
            <w:tcBorders>
              <w:top w:val="nil"/>
              <w:left w:val="nil"/>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8,89%</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10,0%</w:t>
            </w:r>
          </w:p>
        </w:tc>
        <w:tc>
          <w:tcPr>
            <w:tcW w:w="634" w:type="dxa"/>
            <w:tcBorders>
              <w:top w:val="nil"/>
              <w:left w:val="single" w:sz="4" w:space="0" w:color="auto"/>
              <w:bottom w:val="single" w:sz="4" w:space="0" w:color="auto"/>
              <w:right w:val="single" w:sz="4" w:space="0" w:color="auto"/>
            </w:tcBorders>
            <w:shd w:val="clear" w:color="auto" w:fill="auto"/>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9,60%</w:t>
            </w:r>
          </w:p>
        </w:tc>
        <w:tc>
          <w:tcPr>
            <w:tcW w:w="634" w:type="dxa"/>
            <w:tcBorders>
              <w:top w:val="nil"/>
              <w:left w:val="nil"/>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8,64%</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01F6F" w:rsidRPr="00F83E38" w:rsidRDefault="00901F6F" w:rsidP="007E1D5A">
            <w:pPr>
              <w:tabs>
                <w:tab w:val="left" w:pos="1231"/>
              </w:tabs>
              <w:jc w:val="center"/>
              <w:rPr>
                <w:color w:val="000000" w:themeColor="text1"/>
                <w:sz w:val="16"/>
                <w:szCs w:val="16"/>
              </w:rPr>
            </w:pPr>
            <w:r w:rsidRPr="00F83E38">
              <w:rPr>
                <w:color w:val="000000" w:themeColor="text1"/>
                <w:sz w:val="16"/>
                <w:szCs w:val="16"/>
              </w:rPr>
              <w:t>9,7%</w:t>
            </w:r>
          </w:p>
        </w:tc>
      </w:tr>
      <w:tr w:rsidR="00901F6F" w:rsidRPr="00F83E38" w:rsidTr="007E1D5A">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01F6F" w:rsidRPr="00F83E38" w:rsidRDefault="00901F6F" w:rsidP="007E1D5A">
            <w:pPr>
              <w:jc w:val="center"/>
              <w:rPr>
                <w:b/>
                <w:bCs/>
                <w:color w:val="000000" w:themeColor="text1"/>
                <w:sz w:val="16"/>
                <w:szCs w:val="16"/>
              </w:rPr>
            </w:pPr>
            <w:r w:rsidRPr="00F83E38">
              <w:rPr>
                <w:b/>
                <w:bCs/>
                <w:color w:val="000000" w:themeColor="text1"/>
                <w:sz w:val="16"/>
                <w:szCs w:val="16"/>
              </w:rPr>
              <w:t>Réputation</w:t>
            </w:r>
          </w:p>
        </w:tc>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7,50%</w:t>
            </w:r>
          </w:p>
        </w:tc>
        <w:tc>
          <w:tcPr>
            <w:tcW w:w="634" w:type="dxa"/>
            <w:tcBorders>
              <w:top w:val="nil"/>
              <w:left w:val="nil"/>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5,46%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6,9%</w:t>
            </w:r>
          </w:p>
        </w:tc>
        <w:tc>
          <w:tcPr>
            <w:tcW w:w="634" w:type="dxa"/>
            <w:tcBorders>
              <w:top w:val="nil"/>
              <w:left w:val="single" w:sz="4" w:space="0" w:color="auto"/>
              <w:bottom w:val="single" w:sz="4" w:space="0" w:color="auto"/>
              <w:right w:val="single" w:sz="4" w:space="0" w:color="auto"/>
            </w:tcBorders>
            <w:shd w:val="clear" w:color="auto" w:fill="auto"/>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6,70%</w:t>
            </w:r>
          </w:p>
        </w:tc>
        <w:tc>
          <w:tcPr>
            <w:tcW w:w="634" w:type="dxa"/>
            <w:tcBorders>
              <w:top w:val="nil"/>
              <w:left w:val="nil"/>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4,77%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7,5%</w:t>
            </w:r>
          </w:p>
        </w:tc>
        <w:tc>
          <w:tcPr>
            <w:tcW w:w="634" w:type="dxa"/>
            <w:tcBorders>
              <w:top w:val="nil"/>
              <w:left w:val="single" w:sz="4" w:space="0" w:color="auto"/>
              <w:bottom w:val="single" w:sz="4" w:space="0" w:color="auto"/>
              <w:right w:val="single" w:sz="4" w:space="0" w:color="auto"/>
            </w:tcBorders>
            <w:shd w:val="clear" w:color="auto" w:fill="auto"/>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7,80%</w:t>
            </w:r>
          </w:p>
        </w:tc>
        <w:tc>
          <w:tcPr>
            <w:tcW w:w="634" w:type="dxa"/>
            <w:tcBorders>
              <w:top w:val="nil"/>
              <w:left w:val="nil"/>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6,16%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7,2%</w:t>
            </w:r>
          </w:p>
        </w:tc>
        <w:tc>
          <w:tcPr>
            <w:tcW w:w="634" w:type="dxa"/>
            <w:tcBorders>
              <w:top w:val="nil"/>
              <w:left w:val="single" w:sz="4" w:space="0" w:color="auto"/>
              <w:bottom w:val="single" w:sz="4" w:space="0" w:color="auto"/>
              <w:right w:val="single" w:sz="4" w:space="0" w:color="auto"/>
            </w:tcBorders>
            <w:shd w:val="clear" w:color="auto" w:fill="auto"/>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8,30%</w:t>
            </w:r>
          </w:p>
        </w:tc>
        <w:tc>
          <w:tcPr>
            <w:tcW w:w="634" w:type="dxa"/>
            <w:tcBorders>
              <w:top w:val="nil"/>
              <w:left w:val="nil"/>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5,33%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01F6F" w:rsidRPr="00F83E38" w:rsidRDefault="00901F6F" w:rsidP="007E1D5A">
            <w:pPr>
              <w:tabs>
                <w:tab w:val="left" w:pos="1231"/>
              </w:tabs>
              <w:jc w:val="center"/>
              <w:rPr>
                <w:color w:val="000000" w:themeColor="text1"/>
                <w:sz w:val="16"/>
                <w:szCs w:val="16"/>
              </w:rPr>
            </w:pPr>
            <w:r w:rsidRPr="00F83E38">
              <w:rPr>
                <w:color w:val="000000" w:themeColor="text1"/>
                <w:sz w:val="16"/>
                <w:szCs w:val="16"/>
              </w:rPr>
              <w:t>7,0%</w:t>
            </w:r>
          </w:p>
        </w:tc>
      </w:tr>
      <w:tr w:rsidR="00901F6F" w:rsidRPr="00F83E38" w:rsidTr="007E1D5A">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901F6F" w:rsidRPr="00F83E38" w:rsidRDefault="00901F6F" w:rsidP="007E1D5A">
            <w:pPr>
              <w:jc w:val="center"/>
              <w:rPr>
                <w:b/>
                <w:bCs/>
                <w:color w:val="000000" w:themeColor="text1"/>
                <w:sz w:val="16"/>
                <w:szCs w:val="16"/>
              </w:rPr>
            </w:pPr>
            <w:r w:rsidRPr="00F83E38">
              <w:rPr>
                <w:b/>
                <w:bCs/>
                <w:color w:val="000000" w:themeColor="text1"/>
                <w:sz w:val="16"/>
                <w:szCs w:val="16"/>
              </w:rPr>
              <w:t>Eco-efficience</w:t>
            </w:r>
          </w:p>
        </w:tc>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5,20%</w:t>
            </w:r>
          </w:p>
        </w:tc>
        <w:tc>
          <w:tcPr>
            <w:tcW w:w="634" w:type="dxa"/>
            <w:tcBorders>
              <w:top w:val="nil"/>
              <w:left w:val="nil"/>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4,08%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6,8%</w:t>
            </w:r>
          </w:p>
        </w:tc>
        <w:tc>
          <w:tcPr>
            <w:tcW w:w="634" w:type="dxa"/>
            <w:tcBorders>
              <w:top w:val="nil"/>
              <w:left w:val="single" w:sz="4" w:space="0" w:color="auto"/>
              <w:bottom w:val="single" w:sz="4" w:space="0" w:color="auto"/>
              <w:right w:val="single" w:sz="4" w:space="0" w:color="auto"/>
            </w:tcBorders>
            <w:shd w:val="clear" w:color="auto" w:fill="auto"/>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5,40%</w:t>
            </w:r>
          </w:p>
        </w:tc>
        <w:tc>
          <w:tcPr>
            <w:tcW w:w="634" w:type="dxa"/>
            <w:tcBorders>
              <w:top w:val="nil"/>
              <w:left w:val="nil"/>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4,23%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8,0%</w:t>
            </w:r>
          </w:p>
        </w:tc>
        <w:tc>
          <w:tcPr>
            <w:tcW w:w="634" w:type="dxa"/>
            <w:tcBorders>
              <w:top w:val="nil"/>
              <w:left w:val="single" w:sz="4" w:space="0" w:color="auto"/>
              <w:bottom w:val="single" w:sz="4" w:space="0" w:color="auto"/>
              <w:right w:val="single" w:sz="4" w:space="0" w:color="auto"/>
            </w:tcBorders>
            <w:shd w:val="clear" w:color="auto" w:fill="auto"/>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5,30%</w:t>
            </w:r>
          </w:p>
        </w:tc>
        <w:tc>
          <w:tcPr>
            <w:tcW w:w="634" w:type="dxa"/>
            <w:tcBorders>
              <w:top w:val="nil"/>
              <w:left w:val="nil"/>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4,20%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7,5%</w:t>
            </w:r>
          </w:p>
        </w:tc>
        <w:tc>
          <w:tcPr>
            <w:tcW w:w="634" w:type="dxa"/>
            <w:tcBorders>
              <w:top w:val="nil"/>
              <w:left w:val="single" w:sz="4" w:space="0" w:color="auto"/>
              <w:bottom w:val="single" w:sz="4" w:space="0" w:color="auto"/>
              <w:right w:val="single" w:sz="4" w:space="0" w:color="auto"/>
            </w:tcBorders>
            <w:shd w:val="clear" w:color="auto" w:fill="auto"/>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4,80%</w:t>
            </w:r>
          </w:p>
        </w:tc>
        <w:tc>
          <w:tcPr>
            <w:tcW w:w="634" w:type="dxa"/>
            <w:tcBorders>
              <w:top w:val="nil"/>
              <w:left w:val="nil"/>
              <w:bottom w:val="single" w:sz="4" w:space="0" w:color="auto"/>
              <w:right w:val="single" w:sz="4" w:space="0" w:color="auto"/>
            </w:tcBorders>
            <w:shd w:val="clear" w:color="auto" w:fill="auto"/>
            <w:noWrap/>
            <w:vAlign w:val="center"/>
            <w:hideMark/>
          </w:tcPr>
          <w:p w:rsidR="00901F6F" w:rsidRPr="00F83E38" w:rsidRDefault="00901F6F" w:rsidP="007E1D5A">
            <w:pPr>
              <w:jc w:val="center"/>
              <w:rPr>
                <w:color w:val="000000" w:themeColor="text1"/>
                <w:sz w:val="16"/>
                <w:szCs w:val="16"/>
              </w:rPr>
            </w:pPr>
            <w:r w:rsidRPr="00F83E38">
              <w:rPr>
                <w:color w:val="000000" w:themeColor="text1"/>
                <w:sz w:val="16"/>
                <w:szCs w:val="16"/>
              </w:rPr>
              <w:t>3,88%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01F6F" w:rsidRPr="00F83E38" w:rsidRDefault="00901F6F" w:rsidP="007E1D5A">
            <w:pPr>
              <w:tabs>
                <w:tab w:val="left" w:pos="1231"/>
              </w:tabs>
              <w:jc w:val="center"/>
              <w:rPr>
                <w:color w:val="000000" w:themeColor="text1"/>
                <w:sz w:val="16"/>
                <w:szCs w:val="16"/>
              </w:rPr>
            </w:pPr>
            <w:r w:rsidRPr="00F83E38">
              <w:rPr>
                <w:color w:val="000000" w:themeColor="text1"/>
                <w:sz w:val="16"/>
                <w:szCs w:val="16"/>
              </w:rPr>
              <w:t>7,1%</w:t>
            </w:r>
          </w:p>
        </w:tc>
      </w:tr>
    </w:tbl>
    <w:p w:rsidR="00901F6F" w:rsidRPr="00DC67A9" w:rsidRDefault="00901F6F" w:rsidP="00901F6F">
      <w:pPr>
        <w:tabs>
          <w:tab w:val="left" w:pos="2564"/>
          <w:tab w:val="left" w:pos="3189"/>
          <w:tab w:val="left" w:pos="8717"/>
          <w:tab w:val="left" w:pos="9568"/>
          <w:tab w:val="left" w:pos="10276"/>
        </w:tabs>
        <w:spacing w:line="480" w:lineRule="auto"/>
        <w:ind w:left="70"/>
        <w:jc w:val="right"/>
        <w:rPr>
          <w:bCs/>
          <w:i/>
          <w:color w:val="000000" w:themeColor="text1"/>
          <w:sz w:val="18"/>
          <w:szCs w:val="18"/>
        </w:rPr>
      </w:pPr>
      <w:r w:rsidRPr="00DC67A9">
        <w:rPr>
          <w:bCs/>
          <w:i/>
          <w:color w:val="000000" w:themeColor="text1"/>
          <w:sz w:val="18"/>
          <w:szCs w:val="18"/>
        </w:rPr>
        <w:t>Source : auteurs</w:t>
      </w:r>
    </w:p>
    <w:p w:rsidR="000D3D9E" w:rsidRPr="00366BF3" w:rsidRDefault="000D3D9E" w:rsidP="00281482">
      <w:pPr>
        <w:tabs>
          <w:tab w:val="left" w:pos="2564"/>
          <w:tab w:val="left" w:pos="3189"/>
          <w:tab w:val="left" w:pos="8717"/>
          <w:tab w:val="left" w:pos="9568"/>
          <w:tab w:val="left" w:pos="10276"/>
        </w:tabs>
        <w:spacing w:line="480" w:lineRule="auto"/>
        <w:ind w:left="70"/>
        <w:jc w:val="center"/>
        <w:rPr>
          <w:b/>
          <w:bCs/>
          <w:color w:val="000000" w:themeColor="text1"/>
          <w:sz w:val="20"/>
        </w:rPr>
      </w:pPr>
      <w:r w:rsidRPr="00366BF3">
        <w:rPr>
          <w:b/>
          <w:bCs/>
          <w:color w:val="000000" w:themeColor="text1"/>
          <w:sz w:val="20"/>
        </w:rPr>
        <w:t>Tableau n°</w:t>
      </w:r>
      <w:r w:rsidR="00C72000" w:rsidRPr="00366BF3">
        <w:rPr>
          <w:b/>
          <w:bCs/>
          <w:color w:val="000000" w:themeColor="text1"/>
          <w:sz w:val="20"/>
        </w:rPr>
        <w:t>2</w:t>
      </w:r>
      <w:r w:rsidRPr="00366BF3">
        <w:rPr>
          <w:b/>
          <w:bCs/>
          <w:color w:val="000000" w:themeColor="text1"/>
          <w:sz w:val="20"/>
        </w:rPr>
        <w:t>: Classement des sources de VAC selon les régions de 2014 à 2017</w:t>
      </w:r>
    </w:p>
    <w:p w:rsidR="00776FFC" w:rsidRPr="00366BF3" w:rsidRDefault="00B14126" w:rsidP="00281482">
      <w:pPr>
        <w:spacing w:after="160" w:line="480" w:lineRule="auto"/>
        <w:jc w:val="both"/>
        <w:rPr>
          <w:color w:val="000000" w:themeColor="text1"/>
          <w:szCs w:val="24"/>
        </w:rPr>
      </w:pPr>
      <w:r w:rsidRPr="00366BF3">
        <w:rPr>
          <w:color w:val="000000" w:themeColor="text1"/>
          <w:szCs w:val="24"/>
        </w:rPr>
        <w:t>Malgré tout, nous pouvons remarquer une diminution de l’importance accordé</w:t>
      </w:r>
      <w:r w:rsidR="001D50FD" w:rsidRPr="00366BF3">
        <w:rPr>
          <w:color w:val="000000" w:themeColor="text1"/>
          <w:szCs w:val="24"/>
        </w:rPr>
        <w:t>e</w:t>
      </w:r>
      <w:r w:rsidRPr="00366BF3">
        <w:rPr>
          <w:color w:val="000000" w:themeColor="text1"/>
          <w:szCs w:val="24"/>
        </w:rPr>
        <w:t xml:space="preserve"> </w:t>
      </w:r>
      <w:r w:rsidR="00667C2A" w:rsidRPr="00366BF3">
        <w:rPr>
          <w:color w:val="000000" w:themeColor="text1"/>
          <w:szCs w:val="24"/>
        </w:rPr>
        <w:t>à ces</w:t>
      </w:r>
      <w:r w:rsidRPr="00366BF3">
        <w:rPr>
          <w:color w:val="000000" w:themeColor="text1"/>
          <w:szCs w:val="24"/>
        </w:rPr>
        <w:t xml:space="preserve"> critères </w:t>
      </w:r>
      <w:r w:rsidR="00776FFC" w:rsidRPr="00366BF3">
        <w:rPr>
          <w:color w:val="000000" w:themeColor="text1"/>
          <w:szCs w:val="24"/>
        </w:rPr>
        <w:t xml:space="preserve">lorsqu’on les compare </w:t>
      </w:r>
      <w:r w:rsidR="007D1FA9" w:rsidRPr="00366BF3">
        <w:rPr>
          <w:color w:val="000000" w:themeColor="text1"/>
          <w:szCs w:val="24"/>
        </w:rPr>
        <w:t xml:space="preserve">notamment </w:t>
      </w:r>
      <w:r w:rsidR="00776FFC" w:rsidRPr="00366BF3">
        <w:rPr>
          <w:color w:val="000000" w:themeColor="text1"/>
          <w:szCs w:val="24"/>
        </w:rPr>
        <w:t>avec la précédente enquête réalisée en 2016 : « capacité à réaliser la prestation » (</w:t>
      </w:r>
      <w:r w:rsidR="00CE1F1F" w:rsidRPr="00366BF3">
        <w:rPr>
          <w:i/>
          <w:color w:val="000000" w:themeColor="text1"/>
          <w:szCs w:val="24"/>
        </w:rPr>
        <w:t>15,2 % en 2017 ; 17,34 % en 2016</w:t>
      </w:r>
      <w:r w:rsidR="00776FFC" w:rsidRPr="00366BF3">
        <w:rPr>
          <w:i/>
          <w:color w:val="000000" w:themeColor="text1"/>
          <w:szCs w:val="24"/>
        </w:rPr>
        <w:t>)</w:t>
      </w:r>
      <w:r w:rsidR="00776FFC" w:rsidRPr="00366BF3">
        <w:rPr>
          <w:color w:val="000000" w:themeColor="text1"/>
          <w:szCs w:val="24"/>
        </w:rPr>
        <w:t xml:space="preserve">, « taux de service » </w:t>
      </w:r>
      <w:r w:rsidR="00776FFC" w:rsidRPr="00366BF3">
        <w:rPr>
          <w:i/>
          <w:color w:val="000000" w:themeColor="text1"/>
          <w:szCs w:val="24"/>
        </w:rPr>
        <w:t>(14,9 % en 2017</w:t>
      </w:r>
      <w:r w:rsidR="00CE1F1F" w:rsidRPr="00366BF3">
        <w:rPr>
          <w:i/>
          <w:color w:val="000000" w:themeColor="text1"/>
          <w:szCs w:val="24"/>
        </w:rPr>
        <w:t xml:space="preserve"> ; </w:t>
      </w:r>
      <w:r w:rsidR="00751CCC" w:rsidRPr="00366BF3">
        <w:rPr>
          <w:i/>
          <w:color w:val="000000" w:themeColor="text1"/>
          <w:szCs w:val="24"/>
        </w:rPr>
        <w:t>16,73 % en 2016</w:t>
      </w:r>
      <w:r w:rsidR="00776FFC" w:rsidRPr="00366BF3">
        <w:rPr>
          <w:i/>
          <w:color w:val="000000" w:themeColor="text1"/>
          <w:szCs w:val="24"/>
        </w:rPr>
        <w:t xml:space="preserve">) </w:t>
      </w:r>
      <w:r w:rsidR="00776FFC" w:rsidRPr="00366BF3">
        <w:rPr>
          <w:color w:val="000000" w:themeColor="text1"/>
          <w:szCs w:val="24"/>
        </w:rPr>
        <w:t xml:space="preserve">et « tarifs » </w:t>
      </w:r>
      <w:r w:rsidR="00776FFC" w:rsidRPr="00366BF3">
        <w:rPr>
          <w:i/>
          <w:color w:val="000000" w:themeColor="text1"/>
          <w:szCs w:val="24"/>
        </w:rPr>
        <w:t>(13,5% en 2017</w:t>
      </w:r>
      <w:r w:rsidR="00CE1F1F" w:rsidRPr="00366BF3">
        <w:rPr>
          <w:i/>
          <w:color w:val="000000" w:themeColor="text1"/>
          <w:szCs w:val="24"/>
        </w:rPr>
        <w:t> ; 15,33 % en 2016</w:t>
      </w:r>
      <w:r w:rsidR="00776FFC" w:rsidRPr="00366BF3">
        <w:rPr>
          <w:i/>
          <w:color w:val="000000" w:themeColor="text1"/>
          <w:szCs w:val="24"/>
        </w:rPr>
        <w:t>)</w:t>
      </w:r>
      <w:r w:rsidR="00776FFC" w:rsidRPr="00366BF3">
        <w:rPr>
          <w:color w:val="000000" w:themeColor="text1"/>
          <w:szCs w:val="24"/>
        </w:rPr>
        <w:t xml:space="preserve">. </w:t>
      </w:r>
      <w:r w:rsidR="00CE1F1F" w:rsidRPr="00366BF3">
        <w:rPr>
          <w:color w:val="000000" w:themeColor="text1"/>
          <w:szCs w:val="24"/>
        </w:rPr>
        <w:t>Un autre critère voit son poids relatif diminuer, la source de VAC, « maitrise du territoire » (</w:t>
      </w:r>
      <w:r w:rsidR="00CE1F1F" w:rsidRPr="00366BF3">
        <w:rPr>
          <w:i/>
          <w:color w:val="000000" w:themeColor="text1"/>
          <w:szCs w:val="24"/>
        </w:rPr>
        <w:t>10,6 % en 2017, rang 6 ; 11,15% en 2016, rang 4</w:t>
      </w:r>
      <w:r w:rsidR="00CE1F1F" w:rsidRPr="00366BF3">
        <w:rPr>
          <w:color w:val="000000" w:themeColor="text1"/>
          <w:szCs w:val="24"/>
        </w:rPr>
        <w:t xml:space="preserve">). </w:t>
      </w:r>
      <w:r w:rsidR="00776FFC" w:rsidRPr="00366BF3">
        <w:rPr>
          <w:color w:val="000000" w:themeColor="text1"/>
          <w:szCs w:val="24"/>
        </w:rPr>
        <w:t xml:space="preserve">Par conséquent, </w:t>
      </w:r>
      <w:r w:rsidRPr="00366BF3">
        <w:rPr>
          <w:color w:val="000000" w:themeColor="text1"/>
          <w:szCs w:val="24"/>
        </w:rPr>
        <w:t>d’autres sources de VAC voient leur importance se confirmer</w:t>
      </w:r>
      <w:r w:rsidR="00776FFC" w:rsidRPr="00366BF3">
        <w:rPr>
          <w:color w:val="000000" w:themeColor="text1"/>
          <w:szCs w:val="24"/>
        </w:rPr>
        <w:t xml:space="preserve"> voire</w:t>
      </w:r>
      <w:r w:rsidRPr="00366BF3">
        <w:rPr>
          <w:color w:val="000000" w:themeColor="text1"/>
          <w:szCs w:val="24"/>
        </w:rPr>
        <w:t xml:space="preserve"> </w:t>
      </w:r>
      <w:r w:rsidR="00776FFC" w:rsidRPr="00366BF3">
        <w:rPr>
          <w:color w:val="000000" w:themeColor="text1"/>
          <w:szCs w:val="24"/>
        </w:rPr>
        <w:t xml:space="preserve">augmenter </w:t>
      </w:r>
      <w:r w:rsidRPr="00366BF3">
        <w:rPr>
          <w:color w:val="000000" w:themeColor="text1"/>
          <w:szCs w:val="24"/>
        </w:rPr>
        <w:t>pour être susceptible</w:t>
      </w:r>
      <w:r w:rsidR="00711D2E" w:rsidRPr="00366BF3">
        <w:rPr>
          <w:color w:val="000000" w:themeColor="text1"/>
          <w:szCs w:val="24"/>
        </w:rPr>
        <w:t>s</w:t>
      </w:r>
      <w:r w:rsidRPr="00366BF3">
        <w:rPr>
          <w:color w:val="000000" w:themeColor="text1"/>
          <w:szCs w:val="24"/>
        </w:rPr>
        <w:t xml:space="preserve"> de proposer des approches originales dans la construction de la formule de service du PSL. </w:t>
      </w:r>
    </w:p>
    <w:p w:rsidR="00B14126" w:rsidRPr="00366BF3" w:rsidRDefault="000D3D9E" w:rsidP="00281482">
      <w:pPr>
        <w:spacing w:after="160" w:line="480" w:lineRule="auto"/>
        <w:jc w:val="both"/>
        <w:rPr>
          <w:color w:val="000000" w:themeColor="text1"/>
          <w:szCs w:val="24"/>
        </w:rPr>
      </w:pPr>
      <w:r w:rsidRPr="00366BF3">
        <w:rPr>
          <w:color w:val="000000" w:themeColor="text1"/>
          <w:szCs w:val="24"/>
        </w:rPr>
        <w:t>Ainsi, l’item « qualité relationnelle » renforce son importance sur l’ensemble de l’échantillon et se repositionne au 4</w:t>
      </w:r>
      <w:r w:rsidRPr="00366BF3">
        <w:rPr>
          <w:color w:val="000000" w:themeColor="text1"/>
          <w:szCs w:val="24"/>
          <w:vertAlign w:val="superscript"/>
        </w:rPr>
        <w:t>ème</w:t>
      </w:r>
      <w:r w:rsidRPr="00366BF3">
        <w:rPr>
          <w:color w:val="000000" w:themeColor="text1"/>
          <w:szCs w:val="24"/>
        </w:rPr>
        <w:t xml:space="preserve"> rang au détriment de l’item « maitrise du territoire » : </w:t>
      </w:r>
      <w:r w:rsidRPr="00366BF3">
        <w:rPr>
          <w:i/>
          <w:color w:val="000000" w:themeColor="text1"/>
          <w:szCs w:val="24"/>
        </w:rPr>
        <w:t>(11,5% en 2017, rang 4 ; 10,74 %, en 2016, rang 6 ; 11,80% en 2014, rang 4)</w:t>
      </w:r>
      <w:r w:rsidR="00B14126" w:rsidRPr="00366BF3">
        <w:rPr>
          <w:i/>
          <w:color w:val="000000" w:themeColor="text1"/>
          <w:szCs w:val="24"/>
        </w:rPr>
        <w:t xml:space="preserve">. </w:t>
      </w:r>
      <w:r w:rsidR="00B14126" w:rsidRPr="00366BF3">
        <w:rPr>
          <w:color w:val="000000" w:themeColor="text1"/>
          <w:szCs w:val="24"/>
        </w:rPr>
        <w:t xml:space="preserve">Ce renforcement de l’item « qualité relationnelle » souligne l’importance de la relation construite au quotidien avec le PSL car elle permet de répondre aux situations imprévisibles tout en améliorant de façon continue la formule de services susceptible de répondre aux exigences de l’industriel. </w:t>
      </w:r>
    </w:p>
    <w:p w:rsidR="000D3D9E" w:rsidRPr="00366BF3" w:rsidRDefault="000D3D9E" w:rsidP="00281482">
      <w:pPr>
        <w:spacing w:after="160" w:line="480" w:lineRule="auto"/>
        <w:jc w:val="both"/>
        <w:rPr>
          <w:color w:val="000000" w:themeColor="text1"/>
          <w:szCs w:val="24"/>
        </w:rPr>
      </w:pPr>
      <w:r w:rsidRPr="00366BF3">
        <w:rPr>
          <w:color w:val="000000" w:themeColor="text1"/>
          <w:szCs w:val="24"/>
        </w:rPr>
        <w:t xml:space="preserve">Ensuite, la source de VAC « expertise technique » voit aussi son rôle </w:t>
      </w:r>
      <w:r w:rsidR="00711D2E" w:rsidRPr="00366BF3">
        <w:rPr>
          <w:color w:val="000000" w:themeColor="text1"/>
          <w:szCs w:val="24"/>
        </w:rPr>
        <w:t>confirmé entre</w:t>
      </w:r>
      <w:r w:rsidRPr="00366BF3">
        <w:rPr>
          <w:color w:val="000000" w:themeColor="text1"/>
          <w:szCs w:val="24"/>
        </w:rPr>
        <w:t xml:space="preserve"> la 6</w:t>
      </w:r>
      <w:r w:rsidRPr="00366BF3">
        <w:rPr>
          <w:color w:val="000000" w:themeColor="text1"/>
          <w:szCs w:val="24"/>
          <w:vertAlign w:val="superscript"/>
        </w:rPr>
        <w:t>ème</w:t>
      </w:r>
      <w:r w:rsidRPr="00366BF3">
        <w:rPr>
          <w:color w:val="000000" w:themeColor="text1"/>
          <w:szCs w:val="24"/>
        </w:rPr>
        <w:t xml:space="preserve"> et la 5</w:t>
      </w:r>
      <w:r w:rsidRPr="00366BF3">
        <w:rPr>
          <w:color w:val="000000" w:themeColor="text1"/>
          <w:szCs w:val="24"/>
          <w:vertAlign w:val="superscript"/>
        </w:rPr>
        <w:t>ème</w:t>
      </w:r>
      <w:r w:rsidRPr="00366BF3">
        <w:rPr>
          <w:color w:val="000000" w:themeColor="text1"/>
          <w:szCs w:val="24"/>
        </w:rPr>
        <w:t xml:space="preserve"> place : (</w:t>
      </w:r>
      <w:r w:rsidRPr="00366BF3">
        <w:rPr>
          <w:i/>
          <w:color w:val="000000" w:themeColor="text1"/>
          <w:szCs w:val="24"/>
        </w:rPr>
        <w:t>9,4 % en 2014, rang 6 ; 10, 76 % en 2016, rang 5 ; 11,1% en 2017, rang 5</w:t>
      </w:r>
      <w:r w:rsidRPr="00366BF3">
        <w:rPr>
          <w:color w:val="000000" w:themeColor="text1"/>
          <w:szCs w:val="24"/>
        </w:rPr>
        <w:t xml:space="preserve">). </w:t>
      </w:r>
      <w:r w:rsidRPr="00366BF3">
        <w:rPr>
          <w:color w:val="000000" w:themeColor="text1"/>
          <w:szCs w:val="24"/>
        </w:rPr>
        <w:lastRenderedPageBreak/>
        <w:t>Nous ne remarquons pas de différences notoires entre les régions sur ce critère en 2017. En revanche, nous pouvons noter, pour la région Normandie, une progression continue, en termes de poids de ce critère : 5,8 % en 2014, rang 8 ; 10,74 % en 2016, rang 5 ; 11,6 % en 2017, rang 4).</w:t>
      </w:r>
    </w:p>
    <w:p w:rsidR="00B14126" w:rsidRPr="00366BF3" w:rsidRDefault="00B14126" w:rsidP="00281482">
      <w:pPr>
        <w:spacing w:after="160" w:line="480" w:lineRule="auto"/>
        <w:jc w:val="both"/>
        <w:rPr>
          <w:color w:val="000000" w:themeColor="text1"/>
          <w:szCs w:val="24"/>
        </w:rPr>
      </w:pPr>
      <w:r w:rsidRPr="00366BF3">
        <w:rPr>
          <w:color w:val="000000" w:themeColor="text1"/>
          <w:szCs w:val="24"/>
        </w:rPr>
        <w:t>Plus généralement, cette évolution constatée de l’item « expertise technique » souligne le fait que les industriels recherchent un PSL ayant la capacité de garantir constamment la fraicheur des produits, source de différenciation majeure dans un contexte concurrentiel exacerbé.</w:t>
      </w:r>
    </w:p>
    <w:p w:rsidR="007C361B" w:rsidRPr="00366BF3" w:rsidRDefault="00711D2E" w:rsidP="00281482">
      <w:pPr>
        <w:spacing w:line="480" w:lineRule="auto"/>
        <w:jc w:val="both"/>
        <w:rPr>
          <w:color w:val="000000" w:themeColor="text1"/>
          <w:szCs w:val="24"/>
        </w:rPr>
      </w:pPr>
      <w:r w:rsidRPr="00366BF3">
        <w:rPr>
          <w:color w:val="000000" w:themeColor="text1"/>
          <w:szCs w:val="24"/>
        </w:rPr>
        <w:t>Enfin</w:t>
      </w:r>
      <w:r w:rsidR="007C361B" w:rsidRPr="00366BF3">
        <w:rPr>
          <w:color w:val="000000" w:themeColor="text1"/>
          <w:szCs w:val="24"/>
        </w:rPr>
        <w:t>,</w:t>
      </w:r>
      <w:r w:rsidR="00B14126" w:rsidRPr="00366BF3">
        <w:rPr>
          <w:color w:val="000000" w:themeColor="text1"/>
          <w:szCs w:val="24"/>
        </w:rPr>
        <w:t xml:space="preserve"> nous constatons que trois critères conservent un poids relativement plus faible par rapport à l’ensemble des autres sources de VAC : le système d’information (</w:t>
      </w:r>
      <w:r w:rsidR="00B14126" w:rsidRPr="00366BF3">
        <w:rPr>
          <w:i/>
          <w:color w:val="000000" w:themeColor="text1"/>
          <w:szCs w:val="24"/>
        </w:rPr>
        <w:t>9,7 % en 2017</w:t>
      </w:r>
      <w:r w:rsidR="00B14126" w:rsidRPr="00366BF3">
        <w:rPr>
          <w:color w:val="000000" w:themeColor="text1"/>
          <w:szCs w:val="24"/>
        </w:rPr>
        <w:t>, rang 7), la réputation (</w:t>
      </w:r>
      <w:r w:rsidR="00B14126" w:rsidRPr="00366BF3">
        <w:rPr>
          <w:i/>
          <w:color w:val="000000" w:themeColor="text1"/>
          <w:szCs w:val="24"/>
        </w:rPr>
        <w:t>6,9 % en 2017, rang 8</w:t>
      </w:r>
      <w:r w:rsidR="00B14126" w:rsidRPr="00366BF3">
        <w:rPr>
          <w:color w:val="000000" w:themeColor="text1"/>
          <w:szCs w:val="24"/>
        </w:rPr>
        <w:t>) et l’éco-efficience (</w:t>
      </w:r>
      <w:r w:rsidR="00B14126" w:rsidRPr="00366BF3">
        <w:rPr>
          <w:i/>
          <w:color w:val="000000" w:themeColor="text1"/>
          <w:szCs w:val="24"/>
        </w:rPr>
        <w:t>6,8 % en 2017, rang 9</w:t>
      </w:r>
      <w:r w:rsidR="00B14126" w:rsidRPr="00366BF3">
        <w:rPr>
          <w:color w:val="000000" w:themeColor="text1"/>
          <w:szCs w:val="24"/>
        </w:rPr>
        <w:t xml:space="preserve">). </w:t>
      </w:r>
    </w:p>
    <w:p w:rsidR="000D3D9E" w:rsidRPr="00366BF3" w:rsidRDefault="00B14126" w:rsidP="00281482">
      <w:pPr>
        <w:spacing w:line="480" w:lineRule="auto"/>
        <w:jc w:val="both"/>
        <w:rPr>
          <w:color w:val="000000" w:themeColor="text1"/>
          <w:szCs w:val="24"/>
        </w:rPr>
      </w:pPr>
      <w:r w:rsidRPr="00366BF3">
        <w:rPr>
          <w:color w:val="000000" w:themeColor="text1"/>
          <w:szCs w:val="24"/>
        </w:rPr>
        <w:t xml:space="preserve">Cependant, malgré cette constance </w:t>
      </w:r>
      <w:r w:rsidR="00916B8A" w:rsidRPr="00366BF3">
        <w:rPr>
          <w:color w:val="000000" w:themeColor="text1"/>
          <w:szCs w:val="24"/>
        </w:rPr>
        <w:t>en termes de</w:t>
      </w:r>
      <w:r w:rsidRPr="00366BF3">
        <w:rPr>
          <w:color w:val="000000" w:themeColor="text1"/>
          <w:szCs w:val="24"/>
        </w:rPr>
        <w:t xml:space="preserve"> faible poids, nous pouvons </w:t>
      </w:r>
      <w:r w:rsidR="007C361B" w:rsidRPr="00366BF3">
        <w:rPr>
          <w:color w:val="000000" w:themeColor="text1"/>
          <w:szCs w:val="24"/>
        </w:rPr>
        <w:t>observer</w:t>
      </w:r>
      <w:r w:rsidRPr="00366BF3">
        <w:rPr>
          <w:color w:val="000000" w:themeColor="text1"/>
          <w:szCs w:val="24"/>
        </w:rPr>
        <w:t xml:space="preserve"> que ces trois critères ont connu une évolution positive de leur poids relatif entre 2016 et 2017 : </w:t>
      </w:r>
      <w:r w:rsidRPr="00366BF3">
        <w:rPr>
          <w:i/>
          <w:color w:val="000000" w:themeColor="text1"/>
          <w:szCs w:val="24"/>
        </w:rPr>
        <w:t>de 8,4 % en 2016 à 9,7 % en 2017</w:t>
      </w:r>
      <w:r w:rsidRPr="00366BF3">
        <w:rPr>
          <w:color w:val="000000" w:themeColor="text1"/>
          <w:szCs w:val="24"/>
        </w:rPr>
        <w:t xml:space="preserve"> pour l’item « système d’information » ; </w:t>
      </w:r>
      <w:r w:rsidRPr="00366BF3">
        <w:rPr>
          <w:i/>
          <w:color w:val="000000" w:themeColor="text1"/>
          <w:szCs w:val="24"/>
        </w:rPr>
        <w:t>de 5,46 % en 2016 à 9,7 % en 2017</w:t>
      </w:r>
      <w:r w:rsidRPr="00366BF3">
        <w:rPr>
          <w:color w:val="000000" w:themeColor="text1"/>
          <w:szCs w:val="24"/>
        </w:rPr>
        <w:t xml:space="preserve"> pour l’item « réputation » ; </w:t>
      </w:r>
      <w:r w:rsidRPr="00366BF3">
        <w:rPr>
          <w:i/>
          <w:color w:val="000000" w:themeColor="text1"/>
          <w:szCs w:val="24"/>
        </w:rPr>
        <w:t>de 4,08 % en 2016 à 6,8 % en 2017</w:t>
      </w:r>
      <w:r w:rsidRPr="00366BF3">
        <w:rPr>
          <w:color w:val="000000" w:themeColor="text1"/>
          <w:szCs w:val="24"/>
        </w:rPr>
        <w:t xml:space="preserve"> pour l’item « éco-efficience ». </w:t>
      </w:r>
    </w:p>
    <w:p w:rsidR="006C5BA7" w:rsidRPr="00366BF3" w:rsidRDefault="00041E54" w:rsidP="00281482">
      <w:pPr>
        <w:spacing w:line="480" w:lineRule="auto"/>
        <w:jc w:val="both"/>
        <w:rPr>
          <w:color w:val="000000" w:themeColor="text1"/>
          <w:szCs w:val="24"/>
        </w:rPr>
      </w:pPr>
      <w:r w:rsidRPr="00366BF3">
        <w:rPr>
          <w:color w:val="000000" w:themeColor="text1"/>
          <w:szCs w:val="24"/>
        </w:rPr>
        <w:t>Ainsi, au regard de ces évolutions constatées, les industriels s’avèreraient plus sensibles aux PSL :</w:t>
      </w:r>
    </w:p>
    <w:p w:rsidR="00041E54" w:rsidRPr="00366BF3" w:rsidRDefault="00041E54" w:rsidP="00281482">
      <w:pPr>
        <w:pStyle w:val="Paragraphedeliste"/>
        <w:numPr>
          <w:ilvl w:val="0"/>
          <w:numId w:val="9"/>
        </w:numPr>
        <w:spacing w:line="480" w:lineRule="auto"/>
        <w:ind w:left="709"/>
        <w:jc w:val="both"/>
        <w:rPr>
          <w:color w:val="000000" w:themeColor="text1"/>
          <w:szCs w:val="24"/>
        </w:rPr>
      </w:pPr>
      <w:r w:rsidRPr="00366BF3">
        <w:rPr>
          <w:color w:val="000000" w:themeColor="text1"/>
          <w:szCs w:val="24"/>
        </w:rPr>
        <w:t>assurant une prestation suivie tant en termes de traçabilité produit que logistique en respectant les standards souhaités par les distributeurs ;</w:t>
      </w:r>
    </w:p>
    <w:p w:rsidR="00041E54" w:rsidRPr="00366BF3" w:rsidRDefault="00041E54" w:rsidP="00281482">
      <w:pPr>
        <w:pStyle w:val="Paragraphedeliste"/>
        <w:numPr>
          <w:ilvl w:val="0"/>
          <w:numId w:val="9"/>
        </w:numPr>
        <w:spacing w:line="480" w:lineRule="auto"/>
        <w:ind w:left="709"/>
        <w:jc w:val="both"/>
        <w:rPr>
          <w:color w:val="000000" w:themeColor="text1"/>
          <w:szCs w:val="24"/>
        </w:rPr>
      </w:pPr>
      <w:r w:rsidRPr="00366BF3">
        <w:rPr>
          <w:color w:val="000000" w:themeColor="text1"/>
          <w:szCs w:val="24"/>
        </w:rPr>
        <w:t>valorisant une réputation construite au quotidien en répondant aux critères principaux auxquels sont sensibles les IAA (Capacité à réaliser la prestation, taux de service et tarifs) tout en s’inscrivant dans une démarche de personnalisation de la relation</w:t>
      </w:r>
      <w:r w:rsidR="00621CBE" w:rsidRPr="00366BF3">
        <w:rPr>
          <w:color w:val="000000" w:themeColor="text1"/>
          <w:szCs w:val="24"/>
        </w:rPr>
        <w:t> ;</w:t>
      </w:r>
    </w:p>
    <w:p w:rsidR="00041E54" w:rsidRPr="00366BF3" w:rsidRDefault="00621CBE" w:rsidP="00281482">
      <w:pPr>
        <w:pStyle w:val="Paragraphedeliste"/>
        <w:numPr>
          <w:ilvl w:val="0"/>
          <w:numId w:val="9"/>
        </w:numPr>
        <w:spacing w:line="480" w:lineRule="auto"/>
        <w:ind w:left="709"/>
        <w:jc w:val="both"/>
        <w:rPr>
          <w:color w:val="000000" w:themeColor="text1"/>
          <w:szCs w:val="24"/>
        </w:rPr>
      </w:pPr>
      <w:r w:rsidRPr="00366BF3">
        <w:rPr>
          <w:color w:val="000000" w:themeColor="text1"/>
          <w:szCs w:val="24"/>
        </w:rPr>
        <w:t>manifestant une préoccupation environnementale liée à leurs expéditions malgré le fait que les industriels sont concentrés sur des problèmes logistiques plus immédiats en termes de délais, fiabilité, coûts, etc.</w:t>
      </w:r>
    </w:p>
    <w:p w:rsidR="00B14126" w:rsidRPr="00366BF3" w:rsidRDefault="00C66F42" w:rsidP="00281482">
      <w:pPr>
        <w:spacing w:before="120" w:line="480" w:lineRule="auto"/>
        <w:jc w:val="both"/>
        <w:rPr>
          <w:color w:val="000000" w:themeColor="text1"/>
          <w:szCs w:val="24"/>
        </w:rPr>
      </w:pPr>
      <w:r w:rsidRPr="00366BF3">
        <w:rPr>
          <w:b/>
          <w:color w:val="000000" w:themeColor="text1"/>
          <w:szCs w:val="24"/>
        </w:rPr>
        <w:lastRenderedPageBreak/>
        <w:t>Le second résultat</w:t>
      </w:r>
      <w:r w:rsidRPr="00366BF3">
        <w:rPr>
          <w:color w:val="000000" w:themeColor="text1"/>
          <w:szCs w:val="24"/>
        </w:rPr>
        <w:t xml:space="preserve"> concerne plus particulièrement la mesure des VAC délivrées par les PSL aux industriels nous permettant de rendre compte de la qualité de la prestation effectivement perçue par les clients. Nous remarquons tout d’abord que les VAC (</w:t>
      </w:r>
      <w:r w:rsidRPr="00366BF3">
        <w:rPr>
          <w:i/>
          <w:color w:val="000000" w:themeColor="text1"/>
          <w:szCs w:val="24"/>
        </w:rPr>
        <w:t>cf.</w:t>
      </w:r>
      <w:r w:rsidRPr="00366BF3">
        <w:rPr>
          <w:color w:val="000000" w:themeColor="text1"/>
          <w:szCs w:val="24"/>
        </w:rPr>
        <w:t xml:space="preserve"> tableau n°</w:t>
      </w:r>
      <w:r w:rsidR="00C72000" w:rsidRPr="00366BF3">
        <w:rPr>
          <w:color w:val="000000" w:themeColor="text1"/>
          <w:szCs w:val="24"/>
        </w:rPr>
        <w:t>3</w:t>
      </w:r>
      <w:r w:rsidRPr="00366BF3">
        <w:rPr>
          <w:color w:val="000000" w:themeColor="text1"/>
          <w:szCs w:val="24"/>
        </w:rPr>
        <w:t xml:space="preserve">) sont largement supérieure à la moyenne et qu’elles ont évolué favorablement pour l’ensemble de l’échantillon entre 2016 et 2017 justifiant ainsi toute la pertinence des stratégies d’externalisation réalisées par les industriels dans le domaine de la logistique. </w:t>
      </w:r>
    </w:p>
    <w:tbl>
      <w:tblPr>
        <w:tblW w:w="805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1474"/>
        <w:gridCol w:w="1474"/>
        <w:gridCol w:w="1474"/>
      </w:tblGrid>
      <w:tr w:rsidR="002727BB" w:rsidRPr="008C6CEA" w:rsidTr="007E1D5A">
        <w:trPr>
          <w:trHeight w:val="426"/>
        </w:trPr>
        <w:tc>
          <w:tcPr>
            <w:tcW w:w="3628" w:type="dxa"/>
            <w:shd w:val="clear" w:color="auto" w:fill="auto"/>
            <w:vAlign w:val="center"/>
          </w:tcPr>
          <w:p w:rsidR="002727BB" w:rsidRPr="008C6CEA" w:rsidRDefault="002727BB" w:rsidP="007E1D5A">
            <w:pPr>
              <w:jc w:val="center"/>
              <w:rPr>
                <w:color w:val="000000" w:themeColor="text1"/>
                <w:szCs w:val="24"/>
              </w:rPr>
            </w:pPr>
          </w:p>
        </w:tc>
        <w:tc>
          <w:tcPr>
            <w:tcW w:w="1474" w:type="dxa"/>
            <w:shd w:val="clear" w:color="auto" w:fill="auto"/>
            <w:vAlign w:val="center"/>
          </w:tcPr>
          <w:p w:rsidR="002727BB" w:rsidRPr="008C6CEA" w:rsidRDefault="002727BB" w:rsidP="007E1D5A">
            <w:pPr>
              <w:jc w:val="center"/>
              <w:rPr>
                <w:b/>
                <w:color w:val="000000" w:themeColor="text1"/>
              </w:rPr>
            </w:pPr>
            <w:r w:rsidRPr="008C6CEA">
              <w:rPr>
                <w:b/>
                <w:color w:val="000000" w:themeColor="text1"/>
              </w:rPr>
              <w:t>2014</w:t>
            </w:r>
          </w:p>
        </w:tc>
        <w:tc>
          <w:tcPr>
            <w:tcW w:w="1474" w:type="dxa"/>
            <w:shd w:val="clear" w:color="auto" w:fill="auto"/>
            <w:vAlign w:val="center"/>
          </w:tcPr>
          <w:p w:rsidR="002727BB" w:rsidRPr="008C6CEA" w:rsidRDefault="002727BB" w:rsidP="007E1D5A">
            <w:pPr>
              <w:jc w:val="center"/>
              <w:rPr>
                <w:b/>
                <w:color w:val="000000" w:themeColor="text1"/>
              </w:rPr>
            </w:pPr>
            <w:r w:rsidRPr="008C6CEA">
              <w:rPr>
                <w:b/>
                <w:color w:val="000000" w:themeColor="text1"/>
              </w:rPr>
              <w:t>2016</w:t>
            </w:r>
          </w:p>
        </w:tc>
        <w:tc>
          <w:tcPr>
            <w:tcW w:w="1474" w:type="dxa"/>
            <w:vAlign w:val="center"/>
          </w:tcPr>
          <w:p w:rsidR="002727BB" w:rsidRPr="008C6CEA" w:rsidRDefault="002727BB" w:rsidP="007E1D5A">
            <w:pPr>
              <w:jc w:val="center"/>
              <w:rPr>
                <w:b/>
                <w:color w:val="000000" w:themeColor="text1"/>
              </w:rPr>
            </w:pPr>
            <w:r w:rsidRPr="008C6CEA">
              <w:rPr>
                <w:b/>
                <w:color w:val="000000" w:themeColor="text1"/>
              </w:rPr>
              <w:t>2017</w:t>
            </w:r>
          </w:p>
        </w:tc>
      </w:tr>
      <w:tr w:rsidR="002727BB" w:rsidRPr="008C6CEA" w:rsidTr="007E1D5A">
        <w:trPr>
          <w:trHeight w:val="340"/>
        </w:trPr>
        <w:tc>
          <w:tcPr>
            <w:tcW w:w="3628" w:type="dxa"/>
            <w:shd w:val="clear" w:color="auto" w:fill="auto"/>
            <w:vAlign w:val="bottom"/>
          </w:tcPr>
          <w:p w:rsidR="002727BB" w:rsidRPr="008C6CEA" w:rsidRDefault="002727BB" w:rsidP="007E1D5A">
            <w:pPr>
              <w:rPr>
                <w:b/>
                <w:color w:val="000000" w:themeColor="text1"/>
              </w:rPr>
            </w:pPr>
            <w:r w:rsidRPr="008C6CEA">
              <w:rPr>
                <w:b/>
                <w:color w:val="000000" w:themeColor="text1"/>
              </w:rPr>
              <w:t>Entreprises du Grand Ouest</w:t>
            </w:r>
          </w:p>
        </w:tc>
        <w:tc>
          <w:tcPr>
            <w:tcW w:w="1474" w:type="dxa"/>
            <w:shd w:val="clear" w:color="auto" w:fill="auto"/>
            <w:vAlign w:val="center"/>
          </w:tcPr>
          <w:p w:rsidR="002727BB" w:rsidRPr="008C6CEA" w:rsidRDefault="002727BB" w:rsidP="007E1D5A">
            <w:pPr>
              <w:jc w:val="center"/>
              <w:rPr>
                <w:color w:val="000000" w:themeColor="text1"/>
              </w:rPr>
            </w:pPr>
            <w:r w:rsidRPr="008C6CEA">
              <w:rPr>
                <w:color w:val="000000" w:themeColor="text1"/>
              </w:rPr>
              <w:t>7,23</w:t>
            </w:r>
          </w:p>
        </w:tc>
        <w:tc>
          <w:tcPr>
            <w:tcW w:w="1474" w:type="dxa"/>
            <w:shd w:val="clear" w:color="auto" w:fill="auto"/>
            <w:vAlign w:val="center"/>
          </w:tcPr>
          <w:p w:rsidR="002727BB" w:rsidRPr="008C6CEA" w:rsidRDefault="002727BB" w:rsidP="007E1D5A">
            <w:pPr>
              <w:jc w:val="center"/>
              <w:rPr>
                <w:color w:val="000000" w:themeColor="text1"/>
              </w:rPr>
            </w:pPr>
            <w:r w:rsidRPr="008C6CEA">
              <w:rPr>
                <w:color w:val="000000" w:themeColor="text1"/>
              </w:rPr>
              <w:t>6,89</w:t>
            </w:r>
          </w:p>
        </w:tc>
        <w:tc>
          <w:tcPr>
            <w:tcW w:w="1474" w:type="dxa"/>
            <w:vAlign w:val="center"/>
          </w:tcPr>
          <w:p w:rsidR="002727BB" w:rsidRPr="008C6CEA" w:rsidRDefault="002727BB" w:rsidP="007E1D5A">
            <w:pPr>
              <w:jc w:val="center"/>
              <w:rPr>
                <w:color w:val="000000" w:themeColor="text1"/>
              </w:rPr>
            </w:pPr>
            <w:r w:rsidRPr="008C6CEA">
              <w:rPr>
                <w:color w:val="000000" w:themeColor="text1"/>
              </w:rPr>
              <w:t>7,43</w:t>
            </w:r>
          </w:p>
        </w:tc>
      </w:tr>
      <w:tr w:rsidR="002727BB" w:rsidRPr="008C6CEA" w:rsidTr="007E1D5A">
        <w:trPr>
          <w:trHeight w:val="340"/>
        </w:trPr>
        <w:tc>
          <w:tcPr>
            <w:tcW w:w="3628" w:type="dxa"/>
            <w:shd w:val="clear" w:color="auto" w:fill="auto"/>
            <w:vAlign w:val="bottom"/>
          </w:tcPr>
          <w:p w:rsidR="002727BB" w:rsidRPr="008C6CEA" w:rsidRDefault="002727BB" w:rsidP="007E1D5A">
            <w:pPr>
              <w:rPr>
                <w:b/>
                <w:color w:val="000000" w:themeColor="text1"/>
              </w:rPr>
            </w:pPr>
            <w:r w:rsidRPr="008C6CEA">
              <w:rPr>
                <w:b/>
                <w:color w:val="000000" w:themeColor="text1"/>
              </w:rPr>
              <w:t>Entreprises Bretonnes</w:t>
            </w:r>
          </w:p>
        </w:tc>
        <w:tc>
          <w:tcPr>
            <w:tcW w:w="1474" w:type="dxa"/>
            <w:shd w:val="clear" w:color="auto" w:fill="auto"/>
            <w:vAlign w:val="center"/>
          </w:tcPr>
          <w:p w:rsidR="002727BB" w:rsidRPr="008C6CEA" w:rsidRDefault="002727BB" w:rsidP="007E1D5A">
            <w:pPr>
              <w:jc w:val="center"/>
              <w:rPr>
                <w:color w:val="000000" w:themeColor="text1"/>
              </w:rPr>
            </w:pPr>
            <w:r w:rsidRPr="008C6CEA">
              <w:rPr>
                <w:color w:val="000000" w:themeColor="text1"/>
              </w:rPr>
              <w:t>6,97</w:t>
            </w:r>
          </w:p>
        </w:tc>
        <w:tc>
          <w:tcPr>
            <w:tcW w:w="1474" w:type="dxa"/>
            <w:shd w:val="clear" w:color="auto" w:fill="auto"/>
            <w:vAlign w:val="center"/>
          </w:tcPr>
          <w:p w:rsidR="002727BB" w:rsidRPr="008C6CEA" w:rsidRDefault="002727BB" w:rsidP="007E1D5A">
            <w:pPr>
              <w:jc w:val="center"/>
              <w:rPr>
                <w:color w:val="000000" w:themeColor="text1"/>
              </w:rPr>
            </w:pPr>
            <w:r w:rsidRPr="008C6CEA">
              <w:rPr>
                <w:color w:val="000000" w:themeColor="text1"/>
              </w:rPr>
              <w:t>7,03</w:t>
            </w:r>
          </w:p>
        </w:tc>
        <w:tc>
          <w:tcPr>
            <w:tcW w:w="1474" w:type="dxa"/>
            <w:vAlign w:val="center"/>
          </w:tcPr>
          <w:p w:rsidR="002727BB" w:rsidRPr="008C6CEA" w:rsidRDefault="002727BB" w:rsidP="007E1D5A">
            <w:pPr>
              <w:jc w:val="center"/>
              <w:rPr>
                <w:color w:val="000000" w:themeColor="text1"/>
              </w:rPr>
            </w:pPr>
            <w:r w:rsidRPr="008C6CEA">
              <w:rPr>
                <w:color w:val="000000" w:themeColor="text1"/>
              </w:rPr>
              <w:t>7,21</w:t>
            </w:r>
          </w:p>
        </w:tc>
      </w:tr>
      <w:tr w:rsidR="002727BB" w:rsidRPr="008C6CEA" w:rsidTr="007E1D5A">
        <w:trPr>
          <w:trHeight w:val="340"/>
        </w:trPr>
        <w:tc>
          <w:tcPr>
            <w:tcW w:w="3628" w:type="dxa"/>
            <w:shd w:val="clear" w:color="auto" w:fill="auto"/>
            <w:vAlign w:val="bottom"/>
          </w:tcPr>
          <w:p w:rsidR="002727BB" w:rsidRPr="008C6CEA" w:rsidRDefault="002727BB" w:rsidP="007E1D5A">
            <w:pPr>
              <w:rPr>
                <w:b/>
                <w:color w:val="000000" w:themeColor="text1"/>
              </w:rPr>
            </w:pPr>
            <w:r w:rsidRPr="008C6CEA">
              <w:rPr>
                <w:b/>
                <w:color w:val="000000" w:themeColor="text1"/>
              </w:rPr>
              <w:t>Entreprises de Normandie</w:t>
            </w:r>
          </w:p>
        </w:tc>
        <w:tc>
          <w:tcPr>
            <w:tcW w:w="1474" w:type="dxa"/>
            <w:shd w:val="clear" w:color="auto" w:fill="auto"/>
            <w:vAlign w:val="center"/>
          </w:tcPr>
          <w:p w:rsidR="002727BB" w:rsidRPr="008C6CEA" w:rsidRDefault="002727BB" w:rsidP="007E1D5A">
            <w:pPr>
              <w:jc w:val="center"/>
              <w:rPr>
                <w:color w:val="000000" w:themeColor="text1"/>
              </w:rPr>
            </w:pPr>
            <w:r w:rsidRPr="008C6CEA">
              <w:rPr>
                <w:color w:val="000000" w:themeColor="text1"/>
              </w:rPr>
              <w:t>7,51</w:t>
            </w:r>
          </w:p>
        </w:tc>
        <w:tc>
          <w:tcPr>
            <w:tcW w:w="1474" w:type="dxa"/>
            <w:shd w:val="clear" w:color="auto" w:fill="auto"/>
            <w:vAlign w:val="center"/>
          </w:tcPr>
          <w:p w:rsidR="002727BB" w:rsidRPr="008C6CEA" w:rsidRDefault="002727BB" w:rsidP="007E1D5A">
            <w:pPr>
              <w:jc w:val="center"/>
              <w:rPr>
                <w:color w:val="000000" w:themeColor="text1"/>
              </w:rPr>
            </w:pPr>
            <w:r w:rsidRPr="008C6CEA">
              <w:rPr>
                <w:color w:val="000000" w:themeColor="text1"/>
              </w:rPr>
              <w:t>6,25</w:t>
            </w:r>
          </w:p>
        </w:tc>
        <w:tc>
          <w:tcPr>
            <w:tcW w:w="1474" w:type="dxa"/>
            <w:vAlign w:val="center"/>
          </w:tcPr>
          <w:p w:rsidR="002727BB" w:rsidRPr="008C6CEA" w:rsidRDefault="002727BB" w:rsidP="007E1D5A">
            <w:pPr>
              <w:jc w:val="center"/>
              <w:rPr>
                <w:color w:val="000000" w:themeColor="text1"/>
              </w:rPr>
            </w:pPr>
            <w:r w:rsidRPr="008C6CEA">
              <w:rPr>
                <w:color w:val="000000" w:themeColor="text1"/>
              </w:rPr>
              <w:t>7,25</w:t>
            </w:r>
          </w:p>
        </w:tc>
      </w:tr>
      <w:tr w:rsidR="002727BB" w:rsidRPr="008C6CEA" w:rsidTr="007E1D5A">
        <w:trPr>
          <w:trHeight w:val="340"/>
        </w:trPr>
        <w:tc>
          <w:tcPr>
            <w:tcW w:w="3628" w:type="dxa"/>
            <w:shd w:val="clear" w:color="auto" w:fill="auto"/>
            <w:vAlign w:val="bottom"/>
          </w:tcPr>
          <w:p w:rsidR="002727BB" w:rsidRPr="008C6CEA" w:rsidRDefault="002727BB" w:rsidP="007E1D5A">
            <w:pPr>
              <w:rPr>
                <w:b/>
                <w:color w:val="000000" w:themeColor="text1"/>
              </w:rPr>
            </w:pPr>
            <w:r w:rsidRPr="008C6CEA">
              <w:rPr>
                <w:b/>
                <w:color w:val="000000" w:themeColor="text1"/>
              </w:rPr>
              <w:t>Entreprises des Pays de la Loire</w:t>
            </w:r>
          </w:p>
        </w:tc>
        <w:tc>
          <w:tcPr>
            <w:tcW w:w="1474" w:type="dxa"/>
            <w:shd w:val="clear" w:color="auto" w:fill="auto"/>
            <w:vAlign w:val="center"/>
          </w:tcPr>
          <w:p w:rsidR="002727BB" w:rsidRPr="008C6CEA" w:rsidRDefault="002727BB" w:rsidP="007E1D5A">
            <w:pPr>
              <w:jc w:val="center"/>
              <w:rPr>
                <w:color w:val="000000" w:themeColor="text1"/>
              </w:rPr>
            </w:pPr>
            <w:r w:rsidRPr="008C6CEA">
              <w:rPr>
                <w:color w:val="000000" w:themeColor="text1"/>
              </w:rPr>
              <w:t>7,44</w:t>
            </w:r>
          </w:p>
        </w:tc>
        <w:tc>
          <w:tcPr>
            <w:tcW w:w="1474" w:type="dxa"/>
            <w:shd w:val="clear" w:color="auto" w:fill="auto"/>
            <w:vAlign w:val="center"/>
          </w:tcPr>
          <w:p w:rsidR="002727BB" w:rsidRPr="008C6CEA" w:rsidRDefault="002727BB" w:rsidP="007E1D5A">
            <w:pPr>
              <w:jc w:val="center"/>
              <w:rPr>
                <w:color w:val="000000" w:themeColor="text1"/>
              </w:rPr>
            </w:pPr>
            <w:r w:rsidRPr="008C6CEA">
              <w:rPr>
                <w:color w:val="000000" w:themeColor="text1"/>
              </w:rPr>
              <w:t>7,46</w:t>
            </w:r>
          </w:p>
        </w:tc>
        <w:tc>
          <w:tcPr>
            <w:tcW w:w="1474" w:type="dxa"/>
            <w:vAlign w:val="center"/>
          </w:tcPr>
          <w:p w:rsidR="002727BB" w:rsidRPr="008C6CEA" w:rsidRDefault="002727BB" w:rsidP="007E1D5A">
            <w:pPr>
              <w:jc w:val="center"/>
              <w:rPr>
                <w:color w:val="000000" w:themeColor="text1"/>
              </w:rPr>
            </w:pPr>
            <w:r w:rsidRPr="008C6CEA">
              <w:rPr>
                <w:color w:val="000000" w:themeColor="text1"/>
              </w:rPr>
              <w:t>7,17</w:t>
            </w:r>
          </w:p>
        </w:tc>
      </w:tr>
    </w:tbl>
    <w:p w:rsidR="00D240AD" w:rsidRPr="00DC67A9" w:rsidRDefault="002727BB" w:rsidP="002727BB">
      <w:pPr>
        <w:tabs>
          <w:tab w:val="left" w:pos="2564"/>
          <w:tab w:val="left" w:pos="3189"/>
          <w:tab w:val="left" w:pos="8717"/>
          <w:tab w:val="left" w:pos="9568"/>
          <w:tab w:val="left" w:pos="10276"/>
        </w:tabs>
        <w:spacing w:line="480" w:lineRule="auto"/>
        <w:ind w:left="70"/>
        <w:jc w:val="right"/>
        <w:rPr>
          <w:bCs/>
          <w:i/>
          <w:color w:val="000000" w:themeColor="text1"/>
          <w:sz w:val="16"/>
          <w:szCs w:val="16"/>
        </w:rPr>
      </w:pPr>
      <w:r w:rsidRPr="00DC67A9">
        <w:rPr>
          <w:bCs/>
          <w:i/>
          <w:color w:val="000000" w:themeColor="text1"/>
          <w:sz w:val="16"/>
          <w:szCs w:val="16"/>
        </w:rPr>
        <w:t>Source : auteurs</w:t>
      </w:r>
    </w:p>
    <w:p w:rsidR="006C5BA7" w:rsidRDefault="005D6912" w:rsidP="00281482">
      <w:pPr>
        <w:spacing w:line="480" w:lineRule="auto"/>
        <w:jc w:val="center"/>
        <w:rPr>
          <w:b/>
          <w:color w:val="000000" w:themeColor="text1"/>
          <w:szCs w:val="24"/>
        </w:rPr>
      </w:pPr>
      <w:r w:rsidRPr="00366BF3">
        <w:rPr>
          <w:b/>
          <w:color w:val="000000" w:themeColor="text1"/>
          <w:szCs w:val="24"/>
        </w:rPr>
        <w:t>Tableau n°</w:t>
      </w:r>
      <w:r w:rsidR="00C72000" w:rsidRPr="00366BF3">
        <w:rPr>
          <w:b/>
          <w:color w:val="000000" w:themeColor="text1"/>
          <w:szCs w:val="24"/>
        </w:rPr>
        <w:t>3</w:t>
      </w:r>
      <w:r w:rsidRPr="00366BF3">
        <w:rPr>
          <w:b/>
          <w:color w:val="000000" w:themeColor="text1"/>
          <w:szCs w:val="24"/>
        </w:rPr>
        <w:t xml:space="preserve"> : VAC moyenne des PSL sur l’ensemble des régions en 2014, 2016 et 2017</w:t>
      </w:r>
    </w:p>
    <w:p w:rsidR="00C47F7B" w:rsidRPr="00366BF3" w:rsidRDefault="00C47F7B" w:rsidP="00281482">
      <w:pPr>
        <w:spacing w:line="480" w:lineRule="auto"/>
        <w:jc w:val="center"/>
        <w:rPr>
          <w:color w:val="000000" w:themeColor="text1"/>
          <w:szCs w:val="24"/>
        </w:rPr>
      </w:pPr>
    </w:p>
    <w:p w:rsidR="007F37E5" w:rsidRPr="00366BF3" w:rsidRDefault="00E503E9" w:rsidP="00281482">
      <w:pPr>
        <w:spacing w:line="480" w:lineRule="auto"/>
        <w:jc w:val="both"/>
        <w:rPr>
          <w:color w:val="000000" w:themeColor="text1"/>
        </w:rPr>
      </w:pPr>
      <w:r w:rsidRPr="00366BF3">
        <w:rPr>
          <w:color w:val="000000" w:themeColor="text1"/>
        </w:rPr>
        <w:t>Si nous nous attardons sur les notes moyennes des sources de VAC pour les trois critères les p</w:t>
      </w:r>
      <w:r w:rsidR="00D02116" w:rsidRPr="00366BF3">
        <w:rPr>
          <w:color w:val="000000" w:themeColor="text1"/>
        </w:rPr>
        <w:t>lus discriminants entre les PSL</w:t>
      </w:r>
      <w:r w:rsidR="00BF1FD3" w:rsidRPr="00366BF3">
        <w:rPr>
          <w:color w:val="000000" w:themeColor="text1"/>
        </w:rPr>
        <w:t>,</w:t>
      </w:r>
      <w:r w:rsidR="00D02116" w:rsidRPr="00366BF3">
        <w:rPr>
          <w:color w:val="000000" w:themeColor="text1"/>
        </w:rPr>
        <w:t xml:space="preserve"> à </w:t>
      </w:r>
      <w:r w:rsidR="00BF1FD3" w:rsidRPr="00366BF3">
        <w:rPr>
          <w:color w:val="000000" w:themeColor="text1"/>
        </w:rPr>
        <w:t>s</w:t>
      </w:r>
      <w:r w:rsidR="00D02116" w:rsidRPr="00366BF3">
        <w:rPr>
          <w:color w:val="000000" w:themeColor="text1"/>
        </w:rPr>
        <w:t>avoir</w:t>
      </w:r>
      <w:r w:rsidR="00BF1FD3" w:rsidRPr="00366BF3">
        <w:rPr>
          <w:color w:val="000000" w:themeColor="text1"/>
        </w:rPr>
        <w:t xml:space="preserve">, </w:t>
      </w:r>
      <w:r w:rsidRPr="00366BF3">
        <w:rPr>
          <w:color w:val="000000" w:themeColor="text1"/>
        </w:rPr>
        <w:t>la capacité à réaliser la prestation, l</w:t>
      </w:r>
      <w:r w:rsidR="00BF1FD3" w:rsidRPr="00366BF3">
        <w:rPr>
          <w:color w:val="000000" w:themeColor="text1"/>
        </w:rPr>
        <w:t>e taux de service et les tarifs (</w:t>
      </w:r>
      <w:r w:rsidR="00BF1FD3" w:rsidRPr="00366BF3">
        <w:rPr>
          <w:i/>
          <w:color w:val="000000" w:themeColor="text1"/>
        </w:rPr>
        <w:t>cf.</w:t>
      </w:r>
      <w:r w:rsidR="00BF1FD3" w:rsidRPr="00366BF3">
        <w:rPr>
          <w:color w:val="000000" w:themeColor="text1"/>
        </w:rPr>
        <w:t xml:space="preserve"> annexe </w:t>
      </w:r>
      <w:r w:rsidR="00033BEB" w:rsidRPr="00366BF3">
        <w:rPr>
          <w:color w:val="000000" w:themeColor="text1"/>
        </w:rPr>
        <w:t>3</w:t>
      </w:r>
      <w:r w:rsidR="00BF1FD3" w:rsidRPr="00366BF3">
        <w:rPr>
          <w:color w:val="000000" w:themeColor="text1"/>
        </w:rPr>
        <w:t>)</w:t>
      </w:r>
      <w:r w:rsidRPr="00366BF3">
        <w:rPr>
          <w:color w:val="000000" w:themeColor="text1"/>
        </w:rPr>
        <w:t xml:space="preserve"> nous pouvons remarquer, sur l’ensemble de l’échantillon, que le critère « capacité à réaliser la prestation » obtient la note moyenne la plus forte (</w:t>
      </w:r>
      <w:r w:rsidRPr="00366BF3">
        <w:rPr>
          <w:i/>
          <w:color w:val="000000" w:themeColor="text1"/>
        </w:rPr>
        <w:t>note moyenne : 8,05 en 2017</w:t>
      </w:r>
      <w:r w:rsidRPr="00366BF3">
        <w:rPr>
          <w:color w:val="000000" w:themeColor="text1"/>
        </w:rPr>
        <w:t>) suivi de l’item « taux de service » (</w:t>
      </w:r>
      <w:r w:rsidRPr="00366BF3">
        <w:rPr>
          <w:i/>
          <w:color w:val="000000" w:themeColor="text1"/>
        </w:rPr>
        <w:t>note moyenne : 7,95 en 2017</w:t>
      </w:r>
      <w:r w:rsidRPr="00366BF3">
        <w:rPr>
          <w:color w:val="000000" w:themeColor="text1"/>
        </w:rPr>
        <w:t xml:space="preserve">). </w:t>
      </w:r>
      <w:r w:rsidR="0035017B" w:rsidRPr="00366BF3">
        <w:rPr>
          <w:color w:val="000000" w:themeColor="text1"/>
        </w:rPr>
        <w:t>Par contre, si le critère « tarifs proposés » se car</w:t>
      </w:r>
      <w:r w:rsidR="00D7637E" w:rsidRPr="00366BF3">
        <w:rPr>
          <w:color w:val="000000" w:themeColor="text1"/>
        </w:rPr>
        <w:t>a</w:t>
      </w:r>
      <w:r w:rsidR="0035017B" w:rsidRPr="00366BF3">
        <w:rPr>
          <w:color w:val="000000" w:themeColor="text1"/>
        </w:rPr>
        <w:t xml:space="preserve">ctérise par une note largement supérieure à la moyenne pour l’ensemble des entreprises </w:t>
      </w:r>
      <w:r w:rsidR="00D7637E" w:rsidRPr="00366BF3">
        <w:rPr>
          <w:color w:val="000000" w:themeColor="text1"/>
        </w:rPr>
        <w:t>(</w:t>
      </w:r>
      <w:r w:rsidR="0035017B" w:rsidRPr="00366BF3">
        <w:rPr>
          <w:i/>
          <w:color w:val="000000" w:themeColor="text1"/>
        </w:rPr>
        <w:t>note moyenne : 6,89 en 2017</w:t>
      </w:r>
      <w:r w:rsidR="0035017B" w:rsidRPr="00366BF3">
        <w:rPr>
          <w:color w:val="000000" w:themeColor="text1"/>
        </w:rPr>
        <w:t>)</w:t>
      </w:r>
      <w:r w:rsidR="00D7637E" w:rsidRPr="00366BF3">
        <w:rPr>
          <w:color w:val="000000" w:themeColor="text1"/>
        </w:rPr>
        <w:t>, il apparait</w:t>
      </w:r>
      <w:r w:rsidR="00916B8A" w:rsidRPr="00366BF3">
        <w:rPr>
          <w:color w:val="000000" w:themeColor="text1"/>
        </w:rPr>
        <w:t>,</w:t>
      </w:r>
      <w:r w:rsidR="00D7637E" w:rsidRPr="00366BF3">
        <w:rPr>
          <w:color w:val="000000" w:themeColor="text1"/>
        </w:rPr>
        <w:t xml:space="preserve"> malgré tout</w:t>
      </w:r>
      <w:r w:rsidR="00916B8A" w:rsidRPr="00366BF3">
        <w:rPr>
          <w:color w:val="000000" w:themeColor="text1"/>
        </w:rPr>
        <w:t>,</w:t>
      </w:r>
      <w:r w:rsidR="00D7637E" w:rsidRPr="00366BF3">
        <w:rPr>
          <w:color w:val="000000" w:themeColor="text1"/>
        </w:rPr>
        <w:t xml:space="preserve"> que cet item obtient la note moyenne la moins importante tant en 2016 qu’en 2017 précédé simplement par le critère éco-efficience (</w:t>
      </w:r>
      <w:r w:rsidR="00D7637E" w:rsidRPr="00366BF3">
        <w:rPr>
          <w:i/>
          <w:color w:val="000000" w:themeColor="text1"/>
        </w:rPr>
        <w:t>note moyenne : 6,46 en 2017)</w:t>
      </w:r>
      <w:r w:rsidR="00D7637E" w:rsidRPr="00366BF3">
        <w:rPr>
          <w:color w:val="000000" w:themeColor="text1"/>
        </w:rPr>
        <w:t>. Nous retrouvons cette tendance pour</w:t>
      </w:r>
      <w:r w:rsidR="003F291C" w:rsidRPr="00366BF3">
        <w:rPr>
          <w:color w:val="000000" w:themeColor="text1"/>
        </w:rPr>
        <w:t xml:space="preserve"> l’ensemble des régions en 2017.</w:t>
      </w:r>
      <w:r w:rsidR="009B341B" w:rsidRPr="00366BF3">
        <w:rPr>
          <w:color w:val="000000" w:themeColor="text1"/>
        </w:rPr>
        <w:t xml:space="preserve"> Ainsi, dans un contexte</w:t>
      </w:r>
      <w:r w:rsidR="00280128" w:rsidRPr="00366BF3">
        <w:rPr>
          <w:color w:val="000000" w:themeColor="text1"/>
        </w:rPr>
        <w:t xml:space="preserve"> où la maitrise des coûts logistiques est prioritaire, pour surmonter en particulier la pression à la baisse sur les prix de vente exercée par le distributeur</w:t>
      </w:r>
      <w:r w:rsidR="006A141A" w:rsidRPr="00366BF3">
        <w:rPr>
          <w:color w:val="000000" w:themeColor="text1"/>
        </w:rPr>
        <w:t>,</w:t>
      </w:r>
      <w:r w:rsidR="00280128" w:rsidRPr="00366BF3">
        <w:rPr>
          <w:color w:val="000000" w:themeColor="text1"/>
        </w:rPr>
        <w:t xml:space="preserve"> les politiques tarifaires initiées par les PSL n’apparaissent pas totalement satisfaisante</w:t>
      </w:r>
      <w:r w:rsidR="007F37E5" w:rsidRPr="00366BF3">
        <w:rPr>
          <w:color w:val="000000" w:themeColor="text1"/>
        </w:rPr>
        <w:t>s</w:t>
      </w:r>
      <w:r w:rsidR="00280128" w:rsidRPr="00366BF3">
        <w:rPr>
          <w:color w:val="000000" w:themeColor="text1"/>
        </w:rPr>
        <w:t xml:space="preserve"> au regard des notes moyennes. </w:t>
      </w:r>
    </w:p>
    <w:p w:rsidR="007705DE" w:rsidRDefault="007705DE" w:rsidP="00281482">
      <w:pPr>
        <w:spacing w:line="480" w:lineRule="auto"/>
        <w:jc w:val="both"/>
        <w:rPr>
          <w:color w:val="000000" w:themeColor="text1"/>
        </w:rPr>
      </w:pPr>
      <w:r w:rsidRPr="00366BF3">
        <w:rPr>
          <w:b/>
          <w:color w:val="000000" w:themeColor="text1"/>
        </w:rPr>
        <w:lastRenderedPageBreak/>
        <w:t xml:space="preserve">Le </w:t>
      </w:r>
      <w:r w:rsidR="00C76CBB" w:rsidRPr="00366BF3">
        <w:rPr>
          <w:b/>
          <w:color w:val="000000" w:themeColor="text1"/>
        </w:rPr>
        <w:t>troisième</w:t>
      </w:r>
      <w:r w:rsidRPr="00366BF3">
        <w:rPr>
          <w:b/>
          <w:color w:val="000000" w:themeColor="text1"/>
        </w:rPr>
        <w:t xml:space="preserve"> résultat</w:t>
      </w:r>
      <w:r w:rsidRPr="00366BF3">
        <w:rPr>
          <w:color w:val="000000" w:themeColor="text1"/>
        </w:rPr>
        <w:t xml:space="preserve"> souligne les facteurs clés de réussite d’une collaboration PSL/industriels</w:t>
      </w:r>
      <w:r w:rsidR="003B6A49" w:rsidRPr="00366BF3">
        <w:rPr>
          <w:color w:val="000000" w:themeColor="text1"/>
        </w:rPr>
        <w:t xml:space="preserve"> (</w:t>
      </w:r>
      <w:r w:rsidR="003B6A49" w:rsidRPr="00366BF3">
        <w:rPr>
          <w:i/>
          <w:color w:val="000000" w:themeColor="text1"/>
        </w:rPr>
        <w:t>cf.</w:t>
      </w:r>
      <w:r w:rsidR="003B6A49" w:rsidRPr="00366BF3">
        <w:rPr>
          <w:color w:val="000000" w:themeColor="text1"/>
        </w:rPr>
        <w:t xml:space="preserve"> tableau n°</w:t>
      </w:r>
      <w:r w:rsidR="00C72000" w:rsidRPr="00366BF3">
        <w:rPr>
          <w:color w:val="000000" w:themeColor="text1"/>
        </w:rPr>
        <w:t>4</w:t>
      </w:r>
      <w:r w:rsidR="003B6A49" w:rsidRPr="00366BF3">
        <w:rPr>
          <w:color w:val="000000" w:themeColor="text1"/>
        </w:rPr>
        <w:t>)</w:t>
      </w:r>
      <w:r w:rsidR="00A42CFF" w:rsidRPr="00366BF3">
        <w:rPr>
          <w:color w:val="000000" w:themeColor="text1"/>
        </w:rPr>
        <w:t>.</w:t>
      </w:r>
    </w:p>
    <w:tbl>
      <w:tblPr>
        <w:tblW w:w="9658" w:type="dxa"/>
        <w:jc w:val="center"/>
        <w:tblCellMar>
          <w:left w:w="70" w:type="dxa"/>
          <w:right w:w="70" w:type="dxa"/>
        </w:tblCellMar>
        <w:tblLook w:val="04A0" w:firstRow="1" w:lastRow="0" w:firstColumn="1" w:lastColumn="0" w:noHBand="0" w:noVBand="1"/>
      </w:tblPr>
      <w:tblGrid>
        <w:gridCol w:w="794"/>
        <w:gridCol w:w="2988"/>
        <w:gridCol w:w="890"/>
        <w:gridCol w:w="852"/>
        <w:gridCol w:w="3340"/>
        <w:gridCol w:w="794"/>
      </w:tblGrid>
      <w:tr w:rsidR="002727BB" w:rsidRPr="008C6CEA" w:rsidTr="007E1D5A">
        <w:trPr>
          <w:trHeight w:val="615"/>
          <w:jc w:val="center"/>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7BB" w:rsidRPr="008C6CEA" w:rsidRDefault="002727BB" w:rsidP="007E1D5A">
            <w:pPr>
              <w:jc w:val="center"/>
              <w:rPr>
                <w:b/>
                <w:bCs/>
                <w:color w:val="000000" w:themeColor="text1"/>
                <w:sz w:val="22"/>
                <w:szCs w:val="22"/>
              </w:rPr>
            </w:pPr>
            <w:r w:rsidRPr="008C6CEA">
              <w:rPr>
                <w:b/>
                <w:bCs/>
                <w:color w:val="000000" w:themeColor="text1"/>
                <w:sz w:val="22"/>
                <w:szCs w:val="22"/>
              </w:rPr>
              <w:t>Rang</w:t>
            </w:r>
          </w:p>
        </w:tc>
        <w:tc>
          <w:tcPr>
            <w:tcW w:w="3878" w:type="dxa"/>
            <w:gridSpan w:val="2"/>
            <w:tcBorders>
              <w:top w:val="single" w:sz="4" w:space="0" w:color="auto"/>
              <w:left w:val="nil"/>
              <w:bottom w:val="single" w:sz="4" w:space="0" w:color="auto"/>
              <w:right w:val="single" w:sz="4" w:space="0" w:color="auto"/>
            </w:tcBorders>
            <w:shd w:val="clear" w:color="auto" w:fill="auto"/>
            <w:vAlign w:val="center"/>
            <w:hideMark/>
          </w:tcPr>
          <w:p w:rsidR="002727BB" w:rsidRPr="008C6CEA" w:rsidRDefault="002727BB" w:rsidP="007E1D5A">
            <w:pPr>
              <w:jc w:val="center"/>
              <w:rPr>
                <w:b/>
                <w:bCs/>
                <w:color w:val="000000" w:themeColor="text1"/>
                <w:sz w:val="22"/>
                <w:szCs w:val="22"/>
              </w:rPr>
            </w:pPr>
            <w:r w:rsidRPr="008C6CEA">
              <w:rPr>
                <w:b/>
                <w:bCs/>
                <w:color w:val="000000" w:themeColor="text1"/>
                <w:sz w:val="22"/>
                <w:szCs w:val="22"/>
              </w:rPr>
              <w:t xml:space="preserve">Facteurs clés de réussite de la collaboration selon les PSL </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2727BB" w:rsidRPr="008C6CEA" w:rsidRDefault="002727BB" w:rsidP="007E1D5A">
            <w:pPr>
              <w:jc w:val="center"/>
              <w:rPr>
                <w:b/>
                <w:bCs/>
                <w:color w:val="000000" w:themeColor="text1"/>
                <w:sz w:val="22"/>
                <w:szCs w:val="22"/>
              </w:rPr>
            </w:pPr>
            <w:r w:rsidRPr="008C6CEA">
              <w:rPr>
                <w:b/>
                <w:bCs/>
                <w:color w:val="000000" w:themeColor="text1"/>
                <w:sz w:val="22"/>
                <w:szCs w:val="22"/>
              </w:rPr>
              <w:t>Rang</w:t>
            </w:r>
          </w:p>
        </w:tc>
        <w:tc>
          <w:tcPr>
            <w:tcW w:w="4134" w:type="dxa"/>
            <w:gridSpan w:val="2"/>
            <w:tcBorders>
              <w:top w:val="single" w:sz="4" w:space="0" w:color="auto"/>
              <w:left w:val="nil"/>
              <w:bottom w:val="single" w:sz="4" w:space="0" w:color="auto"/>
              <w:right w:val="single" w:sz="4" w:space="0" w:color="auto"/>
            </w:tcBorders>
            <w:shd w:val="clear" w:color="auto" w:fill="auto"/>
            <w:vAlign w:val="bottom"/>
            <w:hideMark/>
          </w:tcPr>
          <w:p w:rsidR="002727BB" w:rsidRPr="008C6CEA" w:rsidRDefault="002727BB" w:rsidP="007E1D5A">
            <w:pPr>
              <w:jc w:val="center"/>
              <w:rPr>
                <w:b/>
                <w:bCs/>
                <w:color w:val="000000" w:themeColor="text1"/>
                <w:sz w:val="22"/>
                <w:szCs w:val="22"/>
              </w:rPr>
            </w:pPr>
            <w:r w:rsidRPr="008C6CEA">
              <w:rPr>
                <w:b/>
                <w:bCs/>
                <w:color w:val="000000" w:themeColor="text1"/>
                <w:sz w:val="22"/>
                <w:szCs w:val="22"/>
              </w:rPr>
              <w:t>Facteurs clés de réussite de la collaboration selon les industriels</w:t>
            </w:r>
          </w:p>
        </w:tc>
      </w:tr>
      <w:tr w:rsidR="002727BB" w:rsidRPr="008C6CEA" w:rsidTr="007E1D5A">
        <w:trPr>
          <w:trHeight w:val="300"/>
          <w:jc w:val="center"/>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rsidR="002727BB" w:rsidRPr="008C6CEA" w:rsidRDefault="002727BB" w:rsidP="007E1D5A">
            <w:pPr>
              <w:jc w:val="center"/>
              <w:rPr>
                <w:color w:val="000000" w:themeColor="text1"/>
                <w:sz w:val="22"/>
                <w:szCs w:val="22"/>
              </w:rPr>
            </w:pPr>
            <w:r w:rsidRPr="008C6CEA">
              <w:rPr>
                <w:color w:val="000000" w:themeColor="text1"/>
                <w:sz w:val="22"/>
                <w:szCs w:val="22"/>
              </w:rPr>
              <w:t>1</w:t>
            </w:r>
          </w:p>
        </w:tc>
        <w:tc>
          <w:tcPr>
            <w:tcW w:w="2988" w:type="dxa"/>
            <w:tcBorders>
              <w:top w:val="nil"/>
              <w:left w:val="nil"/>
              <w:bottom w:val="single" w:sz="4" w:space="0" w:color="auto"/>
              <w:right w:val="single" w:sz="4" w:space="0" w:color="auto"/>
            </w:tcBorders>
            <w:shd w:val="clear" w:color="auto" w:fill="auto"/>
            <w:vAlign w:val="center"/>
            <w:hideMark/>
          </w:tcPr>
          <w:p w:rsidR="002727BB" w:rsidRPr="008C6CEA" w:rsidRDefault="002727BB" w:rsidP="007E1D5A">
            <w:pPr>
              <w:rPr>
                <w:color w:val="000000" w:themeColor="text1"/>
                <w:sz w:val="22"/>
                <w:szCs w:val="22"/>
              </w:rPr>
            </w:pPr>
            <w:r w:rsidRPr="008C6CEA">
              <w:rPr>
                <w:color w:val="000000" w:themeColor="text1"/>
                <w:sz w:val="22"/>
                <w:szCs w:val="22"/>
              </w:rPr>
              <w:t>La confiance</w:t>
            </w:r>
          </w:p>
        </w:tc>
        <w:tc>
          <w:tcPr>
            <w:tcW w:w="890"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2"/>
                <w:szCs w:val="22"/>
              </w:rPr>
            </w:pPr>
            <w:r w:rsidRPr="008C6CEA">
              <w:rPr>
                <w:color w:val="000000" w:themeColor="text1"/>
                <w:sz w:val="22"/>
                <w:szCs w:val="22"/>
              </w:rPr>
              <w:t>91,1</w:t>
            </w:r>
          </w:p>
        </w:tc>
        <w:tc>
          <w:tcPr>
            <w:tcW w:w="852"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2"/>
                <w:szCs w:val="22"/>
              </w:rPr>
            </w:pPr>
            <w:r w:rsidRPr="008C6CEA">
              <w:rPr>
                <w:color w:val="000000" w:themeColor="text1"/>
                <w:sz w:val="22"/>
                <w:szCs w:val="22"/>
              </w:rPr>
              <w:t>1</w:t>
            </w:r>
          </w:p>
        </w:tc>
        <w:tc>
          <w:tcPr>
            <w:tcW w:w="3340" w:type="dxa"/>
            <w:tcBorders>
              <w:top w:val="nil"/>
              <w:left w:val="nil"/>
              <w:bottom w:val="single" w:sz="4" w:space="0" w:color="auto"/>
              <w:right w:val="single" w:sz="4" w:space="0" w:color="auto"/>
            </w:tcBorders>
            <w:shd w:val="clear" w:color="auto" w:fill="auto"/>
            <w:vAlign w:val="center"/>
            <w:hideMark/>
          </w:tcPr>
          <w:p w:rsidR="002727BB" w:rsidRPr="008C6CEA" w:rsidRDefault="002727BB" w:rsidP="007E1D5A">
            <w:pPr>
              <w:rPr>
                <w:bCs/>
                <w:color w:val="000000" w:themeColor="text1"/>
                <w:sz w:val="22"/>
                <w:szCs w:val="22"/>
              </w:rPr>
            </w:pPr>
            <w:r w:rsidRPr="008C6CEA">
              <w:rPr>
                <w:bCs/>
                <w:color w:val="000000" w:themeColor="text1"/>
                <w:sz w:val="22"/>
                <w:szCs w:val="22"/>
              </w:rPr>
              <w:t>La réactivité</w:t>
            </w:r>
          </w:p>
        </w:tc>
        <w:tc>
          <w:tcPr>
            <w:tcW w:w="794"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2"/>
                <w:szCs w:val="22"/>
              </w:rPr>
            </w:pPr>
            <w:r w:rsidRPr="008C6CEA">
              <w:rPr>
                <w:color w:val="000000" w:themeColor="text1"/>
                <w:sz w:val="22"/>
                <w:szCs w:val="22"/>
              </w:rPr>
              <w:t>71,4</w:t>
            </w:r>
          </w:p>
        </w:tc>
      </w:tr>
      <w:tr w:rsidR="002727BB" w:rsidRPr="008C6CEA" w:rsidTr="007E1D5A">
        <w:trPr>
          <w:trHeight w:val="300"/>
          <w:jc w:val="center"/>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rsidR="002727BB" w:rsidRPr="008C6CEA" w:rsidRDefault="002727BB" w:rsidP="007E1D5A">
            <w:pPr>
              <w:jc w:val="center"/>
              <w:rPr>
                <w:color w:val="000000" w:themeColor="text1"/>
                <w:sz w:val="22"/>
                <w:szCs w:val="22"/>
              </w:rPr>
            </w:pPr>
            <w:r w:rsidRPr="008C6CEA">
              <w:rPr>
                <w:color w:val="000000" w:themeColor="text1"/>
                <w:sz w:val="22"/>
                <w:szCs w:val="22"/>
              </w:rPr>
              <w:t>2</w:t>
            </w:r>
          </w:p>
        </w:tc>
        <w:tc>
          <w:tcPr>
            <w:tcW w:w="2988" w:type="dxa"/>
            <w:tcBorders>
              <w:top w:val="nil"/>
              <w:left w:val="nil"/>
              <w:bottom w:val="single" w:sz="4" w:space="0" w:color="auto"/>
              <w:right w:val="single" w:sz="4" w:space="0" w:color="auto"/>
            </w:tcBorders>
            <w:shd w:val="clear" w:color="auto" w:fill="auto"/>
            <w:vAlign w:val="center"/>
            <w:hideMark/>
          </w:tcPr>
          <w:p w:rsidR="002727BB" w:rsidRPr="008C6CEA" w:rsidRDefault="002727BB" w:rsidP="007E1D5A">
            <w:pPr>
              <w:rPr>
                <w:color w:val="000000" w:themeColor="text1"/>
                <w:sz w:val="22"/>
                <w:szCs w:val="22"/>
              </w:rPr>
            </w:pPr>
            <w:r w:rsidRPr="008C6CEA">
              <w:rPr>
                <w:color w:val="000000" w:themeColor="text1"/>
                <w:sz w:val="22"/>
                <w:szCs w:val="22"/>
              </w:rPr>
              <w:t>La réactivité</w:t>
            </w:r>
          </w:p>
        </w:tc>
        <w:tc>
          <w:tcPr>
            <w:tcW w:w="890"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2"/>
                <w:szCs w:val="22"/>
              </w:rPr>
            </w:pPr>
            <w:r w:rsidRPr="008C6CEA">
              <w:rPr>
                <w:color w:val="000000" w:themeColor="text1"/>
                <w:sz w:val="22"/>
                <w:szCs w:val="22"/>
              </w:rPr>
              <w:t>86,4</w:t>
            </w:r>
          </w:p>
        </w:tc>
        <w:tc>
          <w:tcPr>
            <w:tcW w:w="852"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2"/>
                <w:szCs w:val="22"/>
              </w:rPr>
            </w:pPr>
            <w:r w:rsidRPr="008C6CEA">
              <w:rPr>
                <w:color w:val="000000" w:themeColor="text1"/>
                <w:sz w:val="22"/>
                <w:szCs w:val="22"/>
              </w:rPr>
              <w:t>2</w:t>
            </w:r>
          </w:p>
        </w:tc>
        <w:tc>
          <w:tcPr>
            <w:tcW w:w="3340" w:type="dxa"/>
            <w:tcBorders>
              <w:top w:val="nil"/>
              <w:left w:val="nil"/>
              <w:bottom w:val="single" w:sz="4" w:space="0" w:color="auto"/>
              <w:right w:val="single" w:sz="4" w:space="0" w:color="auto"/>
            </w:tcBorders>
            <w:shd w:val="clear" w:color="auto" w:fill="auto"/>
            <w:vAlign w:val="center"/>
            <w:hideMark/>
          </w:tcPr>
          <w:p w:rsidR="002727BB" w:rsidRPr="008C6CEA" w:rsidRDefault="002727BB" w:rsidP="007E1D5A">
            <w:pPr>
              <w:rPr>
                <w:bCs/>
                <w:color w:val="000000" w:themeColor="text1"/>
                <w:sz w:val="22"/>
                <w:szCs w:val="22"/>
              </w:rPr>
            </w:pPr>
            <w:r w:rsidRPr="008C6CEA">
              <w:rPr>
                <w:bCs/>
                <w:color w:val="000000" w:themeColor="text1"/>
                <w:sz w:val="22"/>
                <w:szCs w:val="22"/>
              </w:rPr>
              <w:t>La confiance</w:t>
            </w:r>
          </w:p>
        </w:tc>
        <w:tc>
          <w:tcPr>
            <w:tcW w:w="794"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2"/>
                <w:szCs w:val="22"/>
              </w:rPr>
            </w:pPr>
            <w:r w:rsidRPr="008C6CEA">
              <w:rPr>
                <w:color w:val="000000" w:themeColor="text1"/>
                <w:sz w:val="22"/>
                <w:szCs w:val="22"/>
              </w:rPr>
              <w:t>69,2</w:t>
            </w:r>
          </w:p>
        </w:tc>
      </w:tr>
      <w:tr w:rsidR="002727BB" w:rsidRPr="008C6CEA" w:rsidTr="007E1D5A">
        <w:trPr>
          <w:trHeight w:val="600"/>
          <w:jc w:val="center"/>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rsidR="002727BB" w:rsidRPr="008C6CEA" w:rsidRDefault="002727BB" w:rsidP="007E1D5A">
            <w:pPr>
              <w:jc w:val="center"/>
              <w:rPr>
                <w:color w:val="000000" w:themeColor="text1"/>
                <w:sz w:val="22"/>
                <w:szCs w:val="22"/>
              </w:rPr>
            </w:pPr>
            <w:r w:rsidRPr="008C6CEA">
              <w:rPr>
                <w:color w:val="000000" w:themeColor="text1"/>
                <w:sz w:val="22"/>
                <w:szCs w:val="22"/>
              </w:rPr>
              <w:t>3</w:t>
            </w:r>
          </w:p>
        </w:tc>
        <w:tc>
          <w:tcPr>
            <w:tcW w:w="2988" w:type="dxa"/>
            <w:tcBorders>
              <w:top w:val="nil"/>
              <w:left w:val="nil"/>
              <w:bottom w:val="single" w:sz="4" w:space="0" w:color="auto"/>
              <w:right w:val="single" w:sz="4" w:space="0" w:color="auto"/>
            </w:tcBorders>
            <w:shd w:val="clear" w:color="auto" w:fill="auto"/>
            <w:vAlign w:val="center"/>
            <w:hideMark/>
          </w:tcPr>
          <w:p w:rsidR="002727BB" w:rsidRPr="008C6CEA" w:rsidRDefault="002727BB" w:rsidP="007E1D5A">
            <w:pPr>
              <w:rPr>
                <w:color w:val="000000" w:themeColor="text1"/>
                <w:sz w:val="22"/>
                <w:szCs w:val="22"/>
              </w:rPr>
            </w:pPr>
            <w:r w:rsidRPr="008C6CEA">
              <w:rPr>
                <w:color w:val="000000" w:themeColor="text1"/>
                <w:sz w:val="22"/>
                <w:szCs w:val="22"/>
              </w:rPr>
              <w:t>La disponibilité</w:t>
            </w:r>
          </w:p>
        </w:tc>
        <w:tc>
          <w:tcPr>
            <w:tcW w:w="890"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2"/>
                <w:szCs w:val="22"/>
              </w:rPr>
            </w:pPr>
            <w:r w:rsidRPr="008C6CEA">
              <w:rPr>
                <w:color w:val="000000" w:themeColor="text1"/>
                <w:sz w:val="22"/>
                <w:szCs w:val="22"/>
              </w:rPr>
              <w:t>73,2</w:t>
            </w:r>
          </w:p>
        </w:tc>
        <w:tc>
          <w:tcPr>
            <w:tcW w:w="852"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2"/>
                <w:szCs w:val="22"/>
              </w:rPr>
            </w:pPr>
            <w:r w:rsidRPr="008C6CEA">
              <w:rPr>
                <w:color w:val="000000" w:themeColor="text1"/>
                <w:sz w:val="22"/>
                <w:szCs w:val="22"/>
              </w:rPr>
              <w:t>3</w:t>
            </w:r>
          </w:p>
        </w:tc>
        <w:tc>
          <w:tcPr>
            <w:tcW w:w="3340" w:type="dxa"/>
            <w:tcBorders>
              <w:top w:val="nil"/>
              <w:left w:val="nil"/>
              <w:bottom w:val="single" w:sz="4" w:space="0" w:color="auto"/>
              <w:right w:val="single" w:sz="4" w:space="0" w:color="auto"/>
            </w:tcBorders>
            <w:shd w:val="clear" w:color="auto" w:fill="auto"/>
            <w:vAlign w:val="center"/>
            <w:hideMark/>
          </w:tcPr>
          <w:p w:rsidR="002727BB" w:rsidRPr="008C6CEA" w:rsidRDefault="002727BB" w:rsidP="007E1D5A">
            <w:pPr>
              <w:rPr>
                <w:bCs/>
                <w:color w:val="000000" w:themeColor="text1"/>
                <w:sz w:val="22"/>
                <w:szCs w:val="22"/>
              </w:rPr>
            </w:pPr>
            <w:r w:rsidRPr="008C6CEA">
              <w:rPr>
                <w:bCs/>
                <w:color w:val="000000" w:themeColor="text1"/>
                <w:sz w:val="22"/>
                <w:szCs w:val="22"/>
              </w:rPr>
              <w:t>Un objectif commun orienté vers la satisfaction client</w:t>
            </w:r>
          </w:p>
        </w:tc>
        <w:tc>
          <w:tcPr>
            <w:tcW w:w="794"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2"/>
                <w:szCs w:val="22"/>
              </w:rPr>
            </w:pPr>
            <w:r w:rsidRPr="008C6CEA">
              <w:rPr>
                <w:color w:val="000000" w:themeColor="text1"/>
                <w:sz w:val="22"/>
                <w:szCs w:val="22"/>
              </w:rPr>
              <w:t>61,0</w:t>
            </w:r>
          </w:p>
        </w:tc>
      </w:tr>
      <w:tr w:rsidR="002727BB" w:rsidRPr="008C6CEA" w:rsidTr="007E1D5A">
        <w:trPr>
          <w:trHeight w:val="600"/>
          <w:jc w:val="center"/>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rsidR="002727BB" w:rsidRPr="008C6CEA" w:rsidRDefault="002727BB" w:rsidP="007E1D5A">
            <w:pPr>
              <w:jc w:val="center"/>
              <w:rPr>
                <w:color w:val="000000" w:themeColor="text1"/>
                <w:sz w:val="22"/>
                <w:szCs w:val="22"/>
              </w:rPr>
            </w:pPr>
            <w:r w:rsidRPr="008C6CEA">
              <w:rPr>
                <w:color w:val="000000" w:themeColor="text1"/>
                <w:sz w:val="22"/>
                <w:szCs w:val="22"/>
              </w:rPr>
              <w:t>4</w:t>
            </w:r>
          </w:p>
        </w:tc>
        <w:tc>
          <w:tcPr>
            <w:tcW w:w="2988" w:type="dxa"/>
            <w:tcBorders>
              <w:top w:val="nil"/>
              <w:left w:val="nil"/>
              <w:bottom w:val="single" w:sz="4" w:space="0" w:color="auto"/>
              <w:right w:val="single" w:sz="4" w:space="0" w:color="auto"/>
            </w:tcBorders>
            <w:shd w:val="clear" w:color="auto" w:fill="auto"/>
            <w:vAlign w:val="center"/>
            <w:hideMark/>
          </w:tcPr>
          <w:p w:rsidR="002727BB" w:rsidRPr="008C6CEA" w:rsidRDefault="002727BB" w:rsidP="007E1D5A">
            <w:pPr>
              <w:rPr>
                <w:color w:val="000000" w:themeColor="text1"/>
                <w:sz w:val="22"/>
                <w:szCs w:val="22"/>
              </w:rPr>
            </w:pPr>
            <w:r w:rsidRPr="008C6CEA">
              <w:rPr>
                <w:color w:val="000000" w:themeColor="text1"/>
                <w:sz w:val="22"/>
                <w:szCs w:val="22"/>
              </w:rPr>
              <w:t>Un dialogue permanent sur les problématiques rencontrées</w:t>
            </w:r>
          </w:p>
        </w:tc>
        <w:tc>
          <w:tcPr>
            <w:tcW w:w="890"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2"/>
                <w:szCs w:val="22"/>
              </w:rPr>
            </w:pPr>
            <w:r w:rsidRPr="008C6CEA">
              <w:rPr>
                <w:color w:val="000000" w:themeColor="text1"/>
                <w:sz w:val="22"/>
                <w:szCs w:val="22"/>
              </w:rPr>
              <w:t>55,4</w:t>
            </w:r>
          </w:p>
        </w:tc>
        <w:tc>
          <w:tcPr>
            <w:tcW w:w="852"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2"/>
                <w:szCs w:val="22"/>
              </w:rPr>
            </w:pPr>
            <w:r w:rsidRPr="008C6CEA">
              <w:rPr>
                <w:color w:val="000000" w:themeColor="text1"/>
                <w:sz w:val="22"/>
                <w:szCs w:val="22"/>
              </w:rPr>
              <w:t>4</w:t>
            </w:r>
          </w:p>
        </w:tc>
        <w:tc>
          <w:tcPr>
            <w:tcW w:w="3340" w:type="dxa"/>
            <w:tcBorders>
              <w:top w:val="nil"/>
              <w:left w:val="nil"/>
              <w:bottom w:val="single" w:sz="4" w:space="0" w:color="auto"/>
              <w:right w:val="single" w:sz="4" w:space="0" w:color="auto"/>
            </w:tcBorders>
            <w:shd w:val="clear" w:color="auto" w:fill="auto"/>
            <w:vAlign w:val="center"/>
            <w:hideMark/>
          </w:tcPr>
          <w:p w:rsidR="002727BB" w:rsidRPr="008C6CEA" w:rsidRDefault="002727BB" w:rsidP="007E1D5A">
            <w:pPr>
              <w:rPr>
                <w:bCs/>
                <w:color w:val="000000" w:themeColor="text1"/>
                <w:sz w:val="22"/>
                <w:szCs w:val="22"/>
              </w:rPr>
            </w:pPr>
            <w:r w:rsidRPr="008C6CEA">
              <w:rPr>
                <w:bCs/>
                <w:color w:val="000000" w:themeColor="text1"/>
                <w:sz w:val="22"/>
                <w:szCs w:val="22"/>
              </w:rPr>
              <w:t xml:space="preserve"> La disponibilité</w:t>
            </w:r>
          </w:p>
        </w:tc>
        <w:tc>
          <w:tcPr>
            <w:tcW w:w="794"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2"/>
                <w:szCs w:val="22"/>
              </w:rPr>
            </w:pPr>
            <w:r w:rsidRPr="008C6CEA">
              <w:rPr>
                <w:color w:val="000000" w:themeColor="text1"/>
                <w:sz w:val="22"/>
                <w:szCs w:val="22"/>
              </w:rPr>
              <w:t>52,4</w:t>
            </w:r>
          </w:p>
        </w:tc>
      </w:tr>
      <w:tr w:rsidR="002727BB" w:rsidRPr="008C6CEA" w:rsidTr="007E1D5A">
        <w:trPr>
          <w:trHeight w:val="300"/>
          <w:jc w:val="center"/>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rsidR="002727BB" w:rsidRPr="008C6CEA" w:rsidRDefault="002727BB" w:rsidP="007E1D5A">
            <w:pPr>
              <w:jc w:val="center"/>
              <w:rPr>
                <w:color w:val="000000" w:themeColor="text1"/>
                <w:sz w:val="22"/>
                <w:szCs w:val="22"/>
              </w:rPr>
            </w:pPr>
            <w:r w:rsidRPr="008C6CEA">
              <w:rPr>
                <w:color w:val="000000" w:themeColor="text1"/>
                <w:sz w:val="22"/>
                <w:szCs w:val="22"/>
              </w:rPr>
              <w:t>5</w:t>
            </w:r>
          </w:p>
        </w:tc>
        <w:tc>
          <w:tcPr>
            <w:tcW w:w="2988" w:type="dxa"/>
            <w:tcBorders>
              <w:top w:val="nil"/>
              <w:left w:val="nil"/>
              <w:bottom w:val="single" w:sz="4" w:space="0" w:color="auto"/>
              <w:right w:val="single" w:sz="4" w:space="0" w:color="auto"/>
            </w:tcBorders>
            <w:shd w:val="clear" w:color="auto" w:fill="auto"/>
            <w:vAlign w:val="center"/>
            <w:hideMark/>
          </w:tcPr>
          <w:p w:rsidR="002727BB" w:rsidRPr="008C6CEA" w:rsidRDefault="002727BB" w:rsidP="007E1D5A">
            <w:pPr>
              <w:rPr>
                <w:color w:val="000000" w:themeColor="text1"/>
                <w:sz w:val="22"/>
                <w:szCs w:val="22"/>
              </w:rPr>
            </w:pPr>
            <w:r w:rsidRPr="008C6CEA">
              <w:rPr>
                <w:color w:val="000000" w:themeColor="text1"/>
                <w:sz w:val="22"/>
                <w:szCs w:val="22"/>
              </w:rPr>
              <w:t>Un bon relationnel commercial</w:t>
            </w:r>
          </w:p>
        </w:tc>
        <w:tc>
          <w:tcPr>
            <w:tcW w:w="890"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2"/>
                <w:szCs w:val="22"/>
              </w:rPr>
            </w:pPr>
            <w:r w:rsidRPr="008C6CEA">
              <w:rPr>
                <w:color w:val="000000" w:themeColor="text1"/>
                <w:sz w:val="22"/>
                <w:szCs w:val="22"/>
              </w:rPr>
              <w:t>50</w:t>
            </w:r>
          </w:p>
        </w:tc>
        <w:tc>
          <w:tcPr>
            <w:tcW w:w="852"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2"/>
                <w:szCs w:val="22"/>
              </w:rPr>
            </w:pPr>
            <w:r w:rsidRPr="008C6CEA">
              <w:rPr>
                <w:color w:val="000000" w:themeColor="text1"/>
                <w:sz w:val="22"/>
                <w:szCs w:val="22"/>
              </w:rPr>
              <w:t>5</w:t>
            </w:r>
          </w:p>
        </w:tc>
        <w:tc>
          <w:tcPr>
            <w:tcW w:w="3340" w:type="dxa"/>
            <w:tcBorders>
              <w:top w:val="nil"/>
              <w:left w:val="nil"/>
              <w:bottom w:val="single" w:sz="4" w:space="0" w:color="auto"/>
              <w:right w:val="single" w:sz="4" w:space="0" w:color="auto"/>
            </w:tcBorders>
            <w:shd w:val="clear" w:color="auto" w:fill="auto"/>
            <w:vAlign w:val="center"/>
            <w:hideMark/>
          </w:tcPr>
          <w:p w:rsidR="002727BB" w:rsidRPr="008C6CEA" w:rsidRDefault="002727BB" w:rsidP="007E1D5A">
            <w:pPr>
              <w:rPr>
                <w:bCs/>
                <w:color w:val="000000" w:themeColor="text1"/>
                <w:sz w:val="22"/>
                <w:szCs w:val="22"/>
              </w:rPr>
            </w:pPr>
            <w:r w:rsidRPr="008C6CEA">
              <w:rPr>
                <w:bCs/>
                <w:color w:val="000000" w:themeColor="text1"/>
                <w:sz w:val="22"/>
                <w:szCs w:val="22"/>
              </w:rPr>
              <w:t>Un bon relationnel commercial</w:t>
            </w:r>
          </w:p>
        </w:tc>
        <w:tc>
          <w:tcPr>
            <w:tcW w:w="794"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2"/>
                <w:szCs w:val="22"/>
              </w:rPr>
            </w:pPr>
            <w:r w:rsidRPr="008C6CEA">
              <w:rPr>
                <w:color w:val="000000" w:themeColor="text1"/>
                <w:sz w:val="22"/>
                <w:szCs w:val="22"/>
              </w:rPr>
              <w:t>43,8</w:t>
            </w:r>
          </w:p>
        </w:tc>
      </w:tr>
      <w:tr w:rsidR="002727BB" w:rsidRPr="008C6CEA" w:rsidTr="007E1D5A">
        <w:trPr>
          <w:trHeight w:val="600"/>
          <w:jc w:val="center"/>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rsidR="002727BB" w:rsidRPr="008C6CEA" w:rsidRDefault="002727BB" w:rsidP="007E1D5A">
            <w:pPr>
              <w:jc w:val="center"/>
              <w:rPr>
                <w:color w:val="000000" w:themeColor="text1"/>
                <w:sz w:val="22"/>
                <w:szCs w:val="22"/>
              </w:rPr>
            </w:pPr>
            <w:r w:rsidRPr="008C6CEA">
              <w:rPr>
                <w:color w:val="000000" w:themeColor="text1"/>
                <w:sz w:val="22"/>
                <w:szCs w:val="22"/>
              </w:rPr>
              <w:t>6</w:t>
            </w:r>
          </w:p>
        </w:tc>
        <w:tc>
          <w:tcPr>
            <w:tcW w:w="2988" w:type="dxa"/>
            <w:tcBorders>
              <w:top w:val="nil"/>
              <w:left w:val="nil"/>
              <w:bottom w:val="single" w:sz="4" w:space="0" w:color="auto"/>
              <w:right w:val="single" w:sz="4" w:space="0" w:color="auto"/>
            </w:tcBorders>
            <w:shd w:val="clear" w:color="auto" w:fill="auto"/>
            <w:vAlign w:val="center"/>
            <w:hideMark/>
          </w:tcPr>
          <w:p w:rsidR="002727BB" w:rsidRPr="008C6CEA" w:rsidRDefault="002727BB" w:rsidP="007E1D5A">
            <w:pPr>
              <w:rPr>
                <w:color w:val="000000" w:themeColor="text1"/>
                <w:sz w:val="22"/>
                <w:szCs w:val="22"/>
              </w:rPr>
            </w:pPr>
            <w:r w:rsidRPr="008C6CEA">
              <w:rPr>
                <w:color w:val="000000" w:themeColor="text1"/>
                <w:sz w:val="22"/>
                <w:szCs w:val="22"/>
              </w:rPr>
              <w:t>Une réelle volonté d’optimisation des deux parties</w:t>
            </w:r>
          </w:p>
        </w:tc>
        <w:tc>
          <w:tcPr>
            <w:tcW w:w="890"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2"/>
                <w:szCs w:val="22"/>
              </w:rPr>
            </w:pPr>
            <w:r w:rsidRPr="008C6CEA">
              <w:rPr>
                <w:color w:val="000000" w:themeColor="text1"/>
                <w:sz w:val="22"/>
                <w:szCs w:val="22"/>
              </w:rPr>
              <w:t>43,6</w:t>
            </w:r>
          </w:p>
        </w:tc>
        <w:tc>
          <w:tcPr>
            <w:tcW w:w="852"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2"/>
                <w:szCs w:val="22"/>
              </w:rPr>
            </w:pPr>
            <w:r w:rsidRPr="008C6CEA">
              <w:rPr>
                <w:color w:val="000000" w:themeColor="text1"/>
                <w:sz w:val="22"/>
                <w:szCs w:val="22"/>
              </w:rPr>
              <w:t>6</w:t>
            </w:r>
          </w:p>
        </w:tc>
        <w:tc>
          <w:tcPr>
            <w:tcW w:w="3340" w:type="dxa"/>
            <w:tcBorders>
              <w:top w:val="nil"/>
              <w:left w:val="nil"/>
              <w:bottom w:val="single" w:sz="4" w:space="0" w:color="auto"/>
              <w:right w:val="single" w:sz="4" w:space="0" w:color="auto"/>
            </w:tcBorders>
            <w:shd w:val="clear" w:color="auto" w:fill="auto"/>
            <w:vAlign w:val="center"/>
            <w:hideMark/>
          </w:tcPr>
          <w:p w:rsidR="002727BB" w:rsidRPr="008C6CEA" w:rsidRDefault="002727BB" w:rsidP="007E1D5A">
            <w:pPr>
              <w:rPr>
                <w:bCs/>
                <w:color w:val="000000" w:themeColor="text1"/>
                <w:sz w:val="22"/>
                <w:szCs w:val="22"/>
              </w:rPr>
            </w:pPr>
            <w:r w:rsidRPr="008C6CEA">
              <w:rPr>
                <w:bCs/>
                <w:color w:val="000000" w:themeColor="text1"/>
                <w:sz w:val="22"/>
                <w:szCs w:val="22"/>
              </w:rPr>
              <w:t>Le respect du cahier des charges</w:t>
            </w:r>
          </w:p>
        </w:tc>
        <w:tc>
          <w:tcPr>
            <w:tcW w:w="794"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2"/>
                <w:szCs w:val="22"/>
              </w:rPr>
            </w:pPr>
            <w:r w:rsidRPr="008C6CEA">
              <w:rPr>
                <w:color w:val="000000" w:themeColor="text1"/>
                <w:sz w:val="22"/>
                <w:szCs w:val="22"/>
              </w:rPr>
              <w:t>43,8</w:t>
            </w:r>
          </w:p>
        </w:tc>
      </w:tr>
      <w:tr w:rsidR="002727BB" w:rsidRPr="008C6CEA" w:rsidTr="007E1D5A">
        <w:trPr>
          <w:trHeight w:val="600"/>
          <w:jc w:val="center"/>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rsidR="002727BB" w:rsidRPr="008C6CEA" w:rsidRDefault="002727BB" w:rsidP="007E1D5A">
            <w:pPr>
              <w:jc w:val="center"/>
              <w:rPr>
                <w:color w:val="000000" w:themeColor="text1"/>
                <w:sz w:val="22"/>
                <w:szCs w:val="22"/>
              </w:rPr>
            </w:pPr>
            <w:r w:rsidRPr="008C6CEA">
              <w:rPr>
                <w:color w:val="000000" w:themeColor="text1"/>
                <w:sz w:val="22"/>
                <w:szCs w:val="22"/>
              </w:rPr>
              <w:t>7</w:t>
            </w:r>
          </w:p>
        </w:tc>
        <w:tc>
          <w:tcPr>
            <w:tcW w:w="2988" w:type="dxa"/>
            <w:tcBorders>
              <w:top w:val="nil"/>
              <w:left w:val="nil"/>
              <w:bottom w:val="single" w:sz="4" w:space="0" w:color="auto"/>
              <w:right w:val="single" w:sz="4" w:space="0" w:color="auto"/>
            </w:tcBorders>
            <w:shd w:val="clear" w:color="auto" w:fill="auto"/>
            <w:vAlign w:val="center"/>
            <w:hideMark/>
          </w:tcPr>
          <w:p w:rsidR="002727BB" w:rsidRPr="008C6CEA" w:rsidRDefault="002727BB" w:rsidP="007E1D5A">
            <w:pPr>
              <w:rPr>
                <w:color w:val="000000" w:themeColor="text1"/>
                <w:sz w:val="22"/>
                <w:szCs w:val="22"/>
              </w:rPr>
            </w:pPr>
            <w:r w:rsidRPr="008C6CEA">
              <w:rPr>
                <w:color w:val="000000" w:themeColor="text1"/>
                <w:sz w:val="22"/>
                <w:szCs w:val="22"/>
              </w:rPr>
              <w:t>Le respect du cahier des charges</w:t>
            </w:r>
          </w:p>
        </w:tc>
        <w:tc>
          <w:tcPr>
            <w:tcW w:w="890"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2"/>
                <w:szCs w:val="22"/>
              </w:rPr>
            </w:pPr>
            <w:r w:rsidRPr="008C6CEA">
              <w:rPr>
                <w:color w:val="000000" w:themeColor="text1"/>
                <w:sz w:val="22"/>
                <w:szCs w:val="22"/>
              </w:rPr>
              <w:t>42,9</w:t>
            </w:r>
          </w:p>
        </w:tc>
        <w:tc>
          <w:tcPr>
            <w:tcW w:w="852"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2"/>
                <w:szCs w:val="22"/>
              </w:rPr>
            </w:pPr>
            <w:r w:rsidRPr="008C6CEA">
              <w:rPr>
                <w:color w:val="000000" w:themeColor="text1"/>
                <w:sz w:val="22"/>
                <w:szCs w:val="22"/>
              </w:rPr>
              <w:t>7</w:t>
            </w:r>
          </w:p>
        </w:tc>
        <w:tc>
          <w:tcPr>
            <w:tcW w:w="3340" w:type="dxa"/>
            <w:tcBorders>
              <w:top w:val="nil"/>
              <w:left w:val="nil"/>
              <w:bottom w:val="single" w:sz="4" w:space="0" w:color="auto"/>
              <w:right w:val="single" w:sz="4" w:space="0" w:color="auto"/>
            </w:tcBorders>
            <w:shd w:val="clear" w:color="auto" w:fill="auto"/>
            <w:vAlign w:val="center"/>
            <w:hideMark/>
          </w:tcPr>
          <w:p w:rsidR="002727BB" w:rsidRPr="008C6CEA" w:rsidRDefault="002727BB" w:rsidP="007E1D5A">
            <w:pPr>
              <w:rPr>
                <w:bCs/>
                <w:color w:val="000000" w:themeColor="text1"/>
                <w:sz w:val="22"/>
                <w:szCs w:val="22"/>
              </w:rPr>
            </w:pPr>
            <w:r w:rsidRPr="008C6CEA">
              <w:rPr>
                <w:bCs/>
                <w:color w:val="000000" w:themeColor="text1"/>
                <w:sz w:val="22"/>
                <w:szCs w:val="22"/>
              </w:rPr>
              <w:t xml:space="preserve"> La transparence dans les informations transmises</w:t>
            </w:r>
          </w:p>
        </w:tc>
        <w:tc>
          <w:tcPr>
            <w:tcW w:w="794"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2"/>
                <w:szCs w:val="22"/>
              </w:rPr>
            </w:pPr>
            <w:r w:rsidRPr="008C6CEA">
              <w:rPr>
                <w:color w:val="000000" w:themeColor="text1"/>
                <w:sz w:val="22"/>
                <w:szCs w:val="22"/>
              </w:rPr>
              <w:t>38,1</w:t>
            </w:r>
          </w:p>
        </w:tc>
      </w:tr>
      <w:tr w:rsidR="002727BB" w:rsidRPr="008C6CEA" w:rsidTr="007E1D5A">
        <w:trPr>
          <w:trHeight w:val="600"/>
          <w:jc w:val="center"/>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rsidR="002727BB" w:rsidRPr="008C6CEA" w:rsidRDefault="002727BB" w:rsidP="007E1D5A">
            <w:pPr>
              <w:jc w:val="center"/>
              <w:rPr>
                <w:color w:val="000000" w:themeColor="text1"/>
                <w:sz w:val="22"/>
                <w:szCs w:val="22"/>
              </w:rPr>
            </w:pPr>
            <w:r w:rsidRPr="008C6CEA">
              <w:rPr>
                <w:color w:val="000000" w:themeColor="text1"/>
                <w:sz w:val="22"/>
                <w:szCs w:val="22"/>
              </w:rPr>
              <w:t>8</w:t>
            </w:r>
          </w:p>
        </w:tc>
        <w:tc>
          <w:tcPr>
            <w:tcW w:w="2988" w:type="dxa"/>
            <w:tcBorders>
              <w:top w:val="nil"/>
              <w:left w:val="nil"/>
              <w:bottom w:val="single" w:sz="4" w:space="0" w:color="auto"/>
              <w:right w:val="single" w:sz="4" w:space="0" w:color="auto"/>
            </w:tcBorders>
            <w:shd w:val="clear" w:color="auto" w:fill="auto"/>
            <w:vAlign w:val="center"/>
            <w:hideMark/>
          </w:tcPr>
          <w:p w:rsidR="002727BB" w:rsidRPr="008C6CEA" w:rsidRDefault="002727BB" w:rsidP="007E1D5A">
            <w:pPr>
              <w:rPr>
                <w:color w:val="000000" w:themeColor="text1"/>
                <w:sz w:val="22"/>
                <w:szCs w:val="22"/>
              </w:rPr>
            </w:pPr>
            <w:r w:rsidRPr="008C6CEA">
              <w:rPr>
                <w:color w:val="000000" w:themeColor="text1"/>
                <w:sz w:val="22"/>
                <w:szCs w:val="22"/>
              </w:rPr>
              <w:t>Un rapport gagnant/gagnant</w:t>
            </w:r>
          </w:p>
        </w:tc>
        <w:tc>
          <w:tcPr>
            <w:tcW w:w="890"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2"/>
                <w:szCs w:val="22"/>
              </w:rPr>
            </w:pPr>
            <w:r w:rsidRPr="008C6CEA">
              <w:rPr>
                <w:color w:val="000000" w:themeColor="text1"/>
                <w:sz w:val="22"/>
                <w:szCs w:val="22"/>
              </w:rPr>
              <w:t>40,4</w:t>
            </w:r>
          </w:p>
        </w:tc>
        <w:tc>
          <w:tcPr>
            <w:tcW w:w="852"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2"/>
                <w:szCs w:val="22"/>
              </w:rPr>
            </w:pPr>
            <w:r w:rsidRPr="008C6CEA">
              <w:rPr>
                <w:color w:val="000000" w:themeColor="text1"/>
                <w:sz w:val="22"/>
                <w:szCs w:val="22"/>
              </w:rPr>
              <w:t>8</w:t>
            </w:r>
          </w:p>
        </w:tc>
        <w:tc>
          <w:tcPr>
            <w:tcW w:w="3340" w:type="dxa"/>
            <w:tcBorders>
              <w:top w:val="nil"/>
              <w:left w:val="nil"/>
              <w:bottom w:val="single" w:sz="4" w:space="0" w:color="auto"/>
              <w:right w:val="single" w:sz="4" w:space="0" w:color="auto"/>
            </w:tcBorders>
            <w:shd w:val="clear" w:color="auto" w:fill="auto"/>
            <w:vAlign w:val="center"/>
            <w:hideMark/>
          </w:tcPr>
          <w:p w:rsidR="002727BB" w:rsidRPr="008C6CEA" w:rsidRDefault="002727BB" w:rsidP="007E1D5A">
            <w:pPr>
              <w:rPr>
                <w:bCs/>
                <w:color w:val="000000" w:themeColor="text1"/>
                <w:sz w:val="22"/>
                <w:szCs w:val="22"/>
              </w:rPr>
            </w:pPr>
            <w:r w:rsidRPr="008C6CEA">
              <w:rPr>
                <w:bCs/>
                <w:color w:val="000000" w:themeColor="text1"/>
                <w:sz w:val="22"/>
                <w:szCs w:val="22"/>
              </w:rPr>
              <w:t xml:space="preserve"> Un dialogue permanent sur les problématiques rencontrées</w:t>
            </w:r>
          </w:p>
        </w:tc>
        <w:tc>
          <w:tcPr>
            <w:tcW w:w="794"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2"/>
                <w:szCs w:val="22"/>
              </w:rPr>
            </w:pPr>
            <w:r w:rsidRPr="008C6CEA">
              <w:rPr>
                <w:color w:val="000000" w:themeColor="text1"/>
                <w:sz w:val="22"/>
                <w:szCs w:val="22"/>
              </w:rPr>
              <w:t>32,4</w:t>
            </w:r>
          </w:p>
        </w:tc>
      </w:tr>
      <w:tr w:rsidR="002727BB" w:rsidRPr="008C6CEA" w:rsidTr="007E1D5A">
        <w:trPr>
          <w:trHeight w:val="600"/>
          <w:jc w:val="center"/>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rsidR="002727BB" w:rsidRPr="008C6CEA" w:rsidRDefault="002727BB" w:rsidP="007E1D5A">
            <w:pPr>
              <w:jc w:val="center"/>
              <w:rPr>
                <w:color w:val="000000" w:themeColor="text1"/>
                <w:sz w:val="22"/>
                <w:szCs w:val="22"/>
              </w:rPr>
            </w:pPr>
            <w:r w:rsidRPr="008C6CEA">
              <w:rPr>
                <w:color w:val="000000" w:themeColor="text1"/>
                <w:sz w:val="22"/>
                <w:szCs w:val="22"/>
              </w:rPr>
              <w:t>9</w:t>
            </w:r>
          </w:p>
        </w:tc>
        <w:tc>
          <w:tcPr>
            <w:tcW w:w="2988" w:type="dxa"/>
            <w:tcBorders>
              <w:top w:val="nil"/>
              <w:left w:val="nil"/>
              <w:bottom w:val="single" w:sz="4" w:space="0" w:color="auto"/>
              <w:right w:val="single" w:sz="4" w:space="0" w:color="auto"/>
            </w:tcBorders>
            <w:shd w:val="clear" w:color="auto" w:fill="auto"/>
            <w:vAlign w:val="center"/>
            <w:hideMark/>
          </w:tcPr>
          <w:p w:rsidR="002727BB" w:rsidRPr="008C6CEA" w:rsidRDefault="002727BB" w:rsidP="007E1D5A">
            <w:pPr>
              <w:rPr>
                <w:color w:val="000000" w:themeColor="text1"/>
                <w:sz w:val="22"/>
                <w:szCs w:val="22"/>
              </w:rPr>
            </w:pPr>
            <w:r w:rsidRPr="008C6CEA">
              <w:rPr>
                <w:color w:val="000000" w:themeColor="text1"/>
                <w:sz w:val="22"/>
                <w:szCs w:val="22"/>
              </w:rPr>
              <w:t>Un objectif commun orienté vers la satisfaction client</w:t>
            </w:r>
          </w:p>
        </w:tc>
        <w:tc>
          <w:tcPr>
            <w:tcW w:w="890"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2"/>
                <w:szCs w:val="22"/>
              </w:rPr>
            </w:pPr>
            <w:r w:rsidRPr="008C6CEA">
              <w:rPr>
                <w:color w:val="000000" w:themeColor="text1"/>
                <w:sz w:val="22"/>
                <w:szCs w:val="22"/>
              </w:rPr>
              <w:t>35,2</w:t>
            </w:r>
          </w:p>
        </w:tc>
        <w:tc>
          <w:tcPr>
            <w:tcW w:w="852"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2"/>
                <w:szCs w:val="22"/>
              </w:rPr>
            </w:pPr>
            <w:r w:rsidRPr="008C6CEA">
              <w:rPr>
                <w:color w:val="000000" w:themeColor="text1"/>
                <w:sz w:val="22"/>
                <w:szCs w:val="22"/>
              </w:rPr>
              <w:t>9</w:t>
            </w:r>
          </w:p>
        </w:tc>
        <w:tc>
          <w:tcPr>
            <w:tcW w:w="3340" w:type="dxa"/>
            <w:tcBorders>
              <w:top w:val="nil"/>
              <w:left w:val="nil"/>
              <w:bottom w:val="single" w:sz="4" w:space="0" w:color="auto"/>
              <w:right w:val="single" w:sz="4" w:space="0" w:color="auto"/>
            </w:tcBorders>
            <w:shd w:val="clear" w:color="auto" w:fill="auto"/>
            <w:vAlign w:val="center"/>
            <w:hideMark/>
          </w:tcPr>
          <w:p w:rsidR="002727BB" w:rsidRPr="008C6CEA" w:rsidRDefault="002727BB" w:rsidP="007E1D5A">
            <w:pPr>
              <w:rPr>
                <w:bCs/>
                <w:color w:val="000000" w:themeColor="text1"/>
                <w:sz w:val="22"/>
                <w:szCs w:val="22"/>
              </w:rPr>
            </w:pPr>
            <w:r w:rsidRPr="008C6CEA">
              <w:rPr>
                <w:bCs/>
                <w:color w:val="000000" w:themeColor="text1"/>
                <w:sz w:val="22"/>
                <w:szCs w:val="22"/>
              </w:rPr>
              <w:t>Un rapport gagnant/gagnant</w:t>
            </w:r>
          </w:p>
        </w:tc>
        <w:tc>
          <w:tcPr>
            <w:tcW w:w="794"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2"/>
                <w:szCs w:val="22"/>
              </w:rPr>
            </w:pPr>
            <w:r w:rsidRPr="008C6CEA">
              <w:rPr>
                <w:color w:val="000000" w:themeColor="text1"/>
                <w:sz w:val="22"/>
                <w:szCs w:val="22"/>
              </w:rPr>
              <w:t>32,4</w:t>
            </w:r>
          </w:p>
        </w:tc>
      </w:tr>
      <w:tr w:rsidR="002727BB" w:rsidRPr="008C6CEA" w:rsidTr="007E1D5A">
        <w:trPr>
          <w:trHeight w:val="600"/>
          <w:jc w:val="center"/>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rsidR="002727BB" w:rsidRPr="008C6CEA" w:rsidRDefault="002727BB" w:rsidP="007E1D5A">
            <w:pPr>
              <w:jc w:val="center"/>
              <w:rPr>
                <w:color w:val="000000" w:themeColor="text1"/>
                <w:sz w:val="22"/>
                <w:szCs w:val="22"/>
              </w:rPr>
            </w:pPr>
            <w:r w:rsidRPr="008C6CEA">
              <w:rPr>
                <w:color w:val="000000" w:themeColor="text1"/>
                <w:sz w:val="22"/>
                <w:szCs w:val="22"/>
              </w:rPr>
              <w:t>10</w:t>
            </w:r>
          </w:p>
        </w:tc>
        <w:tc>
          <w:tcPr>
            <w:tcW w:w="2988" w:type="dxa"/>
            <w:tcBorders>
              <w:top w:val="nil"/>
              <w:left w:val="nil"/>
              <w:bottom w:val="single" w:sz="4" w:space="0" w:color="auto"/>
              <w:right w:val="single" w:sz="4" w:space="0" w:color="auto"/>
            </w:tcBorders>
            <w:shd w:val="clear" w:color="auto" w:fill="auto"/>
            <w:vAlign w:val="center"/>
            <w:hideMark/>
          </w:tcPr>
          <w:p w:rsidR="002727BB" w:rsidRPr="008C6CEA" w:rsidRDefault="002727BB" w:rsidP="007E1D5A">
            <w:pPr>
              <w:rPr>
                <w:color w:val="000000" w:themeColor="text1"/>
                <w:sz w:val="22"/>
                <w:szCs w:val="22"/>
              </w:rPr>
            </w:pPr>
            <w:r w:rsidRPr="008C6CEA">
              <w:rPr>
                <w:color w:val="000000" w:themeColor="text1"/>
                <w:sz w:val="22"/>
                <w:szCs w:val="22"/>
              </w:rPr>
              <w:t>La transparence dans les informations transmises</w:t>
            </w:r>
          </w:p>
        </w:tc>
        <w:tc>
          <w:tcPr>
            <w:tcW w:w="890"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2"/>
                <w:szCs w:val="22"/>
              </w:rPr>
            </w:pPr>
            <w:r w:rsidRPr="008C6CEA">
              <w:rPr>
                <w:color w:val="000000" w:themeColor="text1"/>
                <w:sz w:val="22"/>
                <w:szCs w:val="22"/>
              </w:rPr>
              <w:t>25,9</w:t>
            </w:r>
          </w:p>
        </w:tc>
        <w:tc>
          <w:tcPr>
            <w:tcW w:w="852"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2"/>
                <w:szCs w:val="22"/>
              </w:rPr>
            </w:pPr>
            <w:r w:rsidRPr="008C6CEA">
              <w:rPr>
                <w:color w:val="000000" w:themeColor="text1"/>
                <w:sz w:val="22"/>
                <w:szCs w:val="22"/>
              </w:rPr>
              <w:t>10</w:t>
            </w:r>
          </w:p>
        </w:tc>
        <w:tc>
          <w:tcPr>
            <w:tcW w:w="3340" w:type="dxa"/>
            <w:tcBorders>
              <w:top w:val="nil"/>
              <w:left w:val="nil"/>
              <w:bottom w:val="single" w:sz="4" w:space="0" w:color="auto"/>
              <w:right w:val="single" w:sz="4" w:space="0" w:color="auto"/>
            </w:tcBorders>
            <w:shd w:val="clear" w:color="auto" w:fill="auto"/>
            <w:vAlign w:val="center"/>
            <w:hideMark/>
          </w:tcPr>
          <w:p w:rsidR="002727BB" w:rsidRPr="008C6CEA" w:rsidRDefault="002727BB" w:rsidP="007E1D5A">
            <w:pPr>
              <w:rPr>
                <w:bCs/>
                <w:color w:val="000000" w:themeColor="text1"/>
                <w:sz w:val="22"/>
                <w:szCs w:val="22"/>
              </w:rPr>
            </w:pPr>
            <w:r w:rsidRPr="008C6CEA">
              <w:rPr>
                <w:bCs/>
                <w:color w:val="000000" w:themeColor="text1"/>
                <w:sz w:val="22"/>
                <w:szCs w:val="22"/>
              </w:rPr>
              <w:t>Une réelle volonté d’optimisation des deux parties</w:t>
            </w:r>
          </w:p>
        </w:tc>
        <w:tc>
          <w:tcPr>
            <w:tcW w:w="794"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2"/>
                <w:szCs w:val="22"/>
              </w:rPr>
            </w:pPr>
            <w:r w:rsidRPr="008C6CEA">
              <w:rPr>
                <w:color w:val="000000" w:themeColor="text1"/>
                <w:sz w:val="22"/>
                <w:szCs w:val="22"/>
              </w:rPr>
              <w:t>31,4</w:t>
            </w:r>
          </w:p>
        </w:tc>
      </w:tr>
      <w:tr w:rsidR="002727BB" w:rsidRPr="008C6CEA" w:rsidTr="007E1D5A">
        <w:trPr>
          <w:trHeight w:val="300"/>
          <w:jc w:val="center"/>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rsidR="002727BB" w:rsidRPr="008C6CEA" w:rsidRDefault="002727BB" w:rsidP="007E1D5A">
            <w:pPr>
              <w:jc w:val="center"/>
              <w:rPr>
                <w:color w:val="000000" w:themeColor="text1"/>
                <w:sz w:val="22"/>
                <w:szCs w:val="22"/>
              </w:rPr>
            </w:pPr>
            <w:r w:rsidRPr="008C6CEA">
              <w:rPr>
                <w:color w:val="000000" w:themeColor="text1"/>
                <w:sz w:val="22"/>
                <w:szCs w:val="22"/>
              </w:rPr>
              <w:t>11</w:t>
            </w:r>
          </w:p>
        </w:tc>
        <w:tc>
          <w:tcPr>
            <w:tcW w:w="2988" w:type="dxa"/>
            <w:tcBorders>
              <w:top w:val="nil"/>
              <w:left w:val="nil"/>
              <w:bottom w:val="single" w:sz="4" w:space="0" w:color="auto"/>
              <w:right w:val="single" w:sz="4" w:space="0" w:color="auto"/>
            </w:tcBorders>
            <w:shd w:val="clear" w:color="auto" w:fill="auto"/>
            <w:vAlign w:val="center"/>
            <w:hideMark/>
          </w:tcPr>
          <w:p w:rsidR="002727BB" w:rsidRPr="008C6CEA" w:rsidRDefault="002727BB" w:rsidP="007E1D5A">
            <w:pPr>
              <w:rPr>
                <w:color w:val="000000" w:themeColor="text1"/>
                <w:sz w:val="22"/>
                <w:szCs w:val="22"/>
              </w:rPr>
            </w:pPr>
            <w:r w:rsidRPr="008C6CEA">
              <w:rPr>
                <w:color w:val="000000" w:themeColor="text1"/>
                <w:sz w:val="22"/>
                <w:szCs w:val="22"/>
              </w:rPr>
              <w:t>Le pragmatisme</w:t>
            </w:r>
          </w:p>
        </w:tc>
        <w:tc>
          <w:tcPr>
            <w:tcW w:w="890"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2"/>
                <w:szCs w:val="22"/>
              </w:rPr>
            </w:pPr>
            <w:r w:rsidRPr="008C6CEA">
              <w:rPr>
                <w:color w:val="000000" w:themeColor="text1"/>
                <w:sz w:val="22"/>
                <w:szCs w:val="22"/>
              </w:rPr>
              <w:t>5,7</w:t>
            </w:r>
          </w:p>
        </w:tc>
        <w:tc>
          <w:tcPr>
            <w:tcW w:w="852"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2"/>
                <w:szCs w:val="22"/>
              </w:rPr>
            </w:pPr>
            <w:r w:rsidRPr="008C6CEA">
              <w:rPr>
                <w:color w:val="000000" w:themeColor="text1"/>
                <w:sz w:val="22"/>
                <w:szCs w:val="22"/>
              </w:rPr>
              <w:t>11</w:t>
            </w:r>
          </w:p>
        </w:tc>
        <w:tc>
          <w:tcPr>
            <w:tcW w:w="3340" w:type="dxa"/>
            <w:tcBorders>
              <w:top w:val="nil"/>
              <w:left w:val="nil"/>
              <w:bottom w:val="single" w:sz="4" w:space="0" w:color="auto"/>
              <w:right w:val="single" w:sz="4" w:space="0" w:color="auto"/>
            </w:tcBorders>
            <w:shd w:val="clear" w:color="auto" w:fill="auto"/>
            <w:vAlign w:val="center"/>
            <w:hideMark/>
          </w:tcPr>
          <w:p w:rsidR="002727BB" w:rsidRPr="008C6CEA" w:rsidRDefault="002727BB" w:rsidP="007E1D5A">
            <w:pPr>
              <w:rPr>
                <w:bCs/>
                <w:color w:val="000000" w:themeColor="text1"/>
                <w:sz w:val="22"/>
                <w:szCs w:val="22"/>
              </w:rPr>
            </w:pPr>
            <w:r w:rsidRPr="008C6CEA">
              <w:rPr>
                <w:bCs/>
                <w:color w:val="000000" w:themeColor="text1"/>
                <w:sz w:val="22"/>
                <w:szCs w:val="22"/>
              </w:rPr>
              <w:t>Le pragmatisme</w:t>
            </w:r>
          </w:p>
        </w:tc>
        <w:tc>
          <w:tcPr>
            <w:tcW w:w="794"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2"/>
                <w:szCs w:val="22"/>
              </w:rPr>
            </w:pPr>
            <w:r w:rsidRPr="008C6CEA">
              <w:rPr>
                <w:color w:val="000000" w:themeColor="text1"/>
                <w:sz w:val="22"/>
                <w:szCs w:val="22"/>
              </w:rPr>
              <w:t>21,0</w:t>
            </w:r>
          </w:p>
        </w:tc>
      </w:tr>
    </w:tbl>
    <w:p w:rsidR="00FF1D5D" w:rsidRPr="00366BF3" w:rsidRDefault="002727BB" w:rsidP="002727BB">
      <w:pPr>
        <w:spacing w:line="480" w:lineRule="auto"/>
        <w:jc w:val="right"/>
        <w:rPr>
          <w:bCs/>
          <w:color w:val="000000" w:themeColor="text1"/>
          <w:sz w:val="16"/>
          <w:szCs w:val="16"/>
        </w:rPr>
      </w:pPr>
      <w:r>
        <w:rPr>
          <w:color w:val="000000" w:themeColor="text1"/>
        </w:rPr>
        <w:t>Source : auteurs</w:t>
      </w:r>
    </w:p>
    <w:p w:rsidR="005D6912" w:rsidRPr="00366BF3" w:rsidRDefault="005D6912" w:rsidP="00281482">
      <w:pPr>
        <w:spacing w:line="480" w:lineRule="auto"/>
        <w:jc w:val="center"/>
        <w:rPr>
          <w:b/>
          <w:color w:val="000000" w:themeColor="text1"/>
          <w:szCs w:val="24"/>
        </w:rPr>
      </w:pPr>
      <w:r w:rsidRPr="00366BF3">
        <w:rPr>
          <w:b/>
          <w:color w:val="000000" w:themeColor="text1"/>
          <w:szCs w:val="24"/>
        </w:rPr>
        <w:t>Tableau n°</w:t>
      </w:r>
      <w:r w:rsidR="00C72000" w:rsidRPr="00366BF3">
        <w:rPr>
          <w:b/>
          <w:color w:val="000000" w:themeColor="text1"/>
          <w:szCs w:val="24"/>
        </w:rPr>
        <w:t>4</w:t>
      </w:r>
      <w:r w:rsidRPr="00366BF3">
        <w:rPr>
          <w:b/>
          <w:color w:val="000000" w:themeColor="text1"/>
          <w:szCs w:val="24"/>
        </w:rPr>
        <w:t> : Les facteurs clés de réussite d’une collaboration PSL/Industriels</w:t>
      </w:r>
    </w:p>
    <w:p w:rsidR="002727BB" w:rsidRDefault="002727BB" w:rsidP="00281482">
      <w:pPr>
        <w:spacing w:line="480" w:lineRule="auto"/>
        <w:jc w:val="both"/>
        <w:rPr>
          <w:color w:val="000000" w:themeColor="text1"/>
        </w:rPr>
      </w:pPr>
    </w:p>
    <w:p w:rsidR="00C5475A" w:rsidRPr="00366BF3" w:rsidRDefault="00C5475A" w:rsidP="00281482">
      <w:pPr>
        <w:spacing w:line="480" w:lineRule="auto"/>
        <w:jc w:val="both"/>
        <w:rPr>
          <w:color w:val="000000" w:themeColor="text1"/>
        </w:rPr>
      </w:pPr>
      <w:r w:rsidRPr="00366BF3">
        <w:rPr>
          <w:color w:val="000000" w:themeColor="text1"/>
        </w:rPr>
        <w:t>Nous remarquons que si parmi les 5 premiers critères cités par les industriels et les PSL, 4 critères apparaissent identiques comme facteurs clés de succès dans une collaboration (la réactivité, la confiance, la disponibilité et un bon relationnel commercial), deux critères ressortent pour les deux acteurs en termes d’importance dans le classement : la confiance et la réactivité. Ces items apparaissent comme le socle d’une formule de services susceptible de répondre à la diversité des besoins des clients dans un contexte plus collaboratif tout en tenant compte des exigences de productivité.</w:t>
      </w:r>
    </w:p>
    <w:p w:rsidR="00C5475A" w:rsidRPr="00366BF3" w:rsidRDefault="00C5475A" w:rsidP="00281482">
      <w:pPr>
        <w:spacing w:line="480" w:lineRule="auto"/>
        <w:jc w:val="both"/>
        <w:rPr>
          <w:color w:val="000000" w:themeColor="text1"/>
        </w:rPr>
      </w:pPr>
      <w:r w:rsidRPr="00366BF3">
        <w:rPr>
          <w:color w:val="000000" w:themeColor="text1"/>
        </w:rPr>
        <w:t xml:space="preserve">En effet, l’importance accordée à l’item « réactivité » souligne le fait que le modèle logistique imposé par les distributeurs exige que le PSL soit capable, aux yeux de l’industriel, d’assurer </w:t>
      </w:r>
      <w:r w:rsidRPr="00366BF3">
        <w:rPr>
          <w:color w:val="000000" w:themeColor="text1"/>
        </w:rPr>
        <w:lastRenderedPageBreak/>
        <w:t>un service principal, cœur de la relation, construit autour d’un script de neuf éléments, tous sources de valeur ajoutée : la capacité à réaliser la prestation, le taux de service, les tarifs, le système d’information, la maitrise du territoire, la qualité relationnelle, la réputation et l’éco-efficience (</w:t>
      </w:r>
      <w:r w:rsidRPr="00366BF3">
        <w:rPr>
          <w:i/>
          <w:color w:val="000000" w:themeColor="text1"/>
        </w:rPr>
        <w:t>cf.</w:t>
      </w:r>
      <w:r w:rsidRPr="00366BF3">
        <w:rPr>
          <w:color w:val="000000" w:themeColor="text1"/>
        </w:rPr>
        <w:t xml:space="preserve"> annexe </w:t>
      </w:r>
      <w:r w:rsidR="00033BEB" w:rsidRPr="00366BF3">
        <w:rPr>
          <w:color w:val="000000" w:themeColor="text1"/>
        </w:rPr>
        <w:t>2</w:t>
      </w:r>
      <w:r w:rsidRPr="00366BF3">
        <w:rPr>
          <w:color w:val="000000" w:themeColor="text1"/>
        </w:rPr>
        <w:t>). Dans ce cas précis, il s’agit pour le PSL et l’industriel de disposer de données de pilotage à court terme avec pour mission, la synchronisation, le suivi et l’évaluation de la performance des flux physiques alimentant quotidiennement les plateformes des distributeurs. Dans ce contexte opérationnel exigeant, la réactivité apparait alors comme l’objectif recherché afin d’assurer voire d’améliorer la qualité transactionnelle dans la relation de service initié par les deux acteurs. Ensuite, l’item « confiance » souligne la qualité relationnelle qui se construit au quotidien par un processus d’apprentissage permettant de répondre aux situations imprévisibles, d’améliorer de façon continue la formule de service co-construite. La maitrise de ces deux facteurs-clés de succès, que sont</w:t>
      </w:r>
      <w:r w:rsidR="00C76CBB" w:rsidRPr="00366BF3">
        <w:rPr>
          <w:color w:val="000000" w:themeColor="text1"/>
        </w:rPr>
        <w:t xml:space="preserve"> la réactivité et la confiance </w:t>
      </w:r>
      <w:r w:rsidRPr="00366BF3">
        <w:rPr>
          <w:color w:val="000000" w:themeColor="text1"/>
        </w:rPr>
        <w:t xml:space="preserve">souligne les prédispositions de ces acteurs à une démarche plus collaborative donnant alors la priorité à une plus grande individualisation de la relation de service. </w:t>
      </w:r>
    </w:p>
    <w:p w:rsidR="007F3490" w:rsidRPr="00366BF3" w:rsidRDefault="007F3490" w:rsidP="00281482">
      <w:pPr>
        <w:spacing w:line="480" w:lineRule="auto"/>
        <w:jc w:val="both"/>
        <w:rPr>
          <w:color w:val="000000" w:themeColor="text1"/>
        </w:rPr>
      </w:pPr>
    </w:p>
    <w:p w:rsidR="00C5475A" w:rsidRPr="000F5D8B" w:rsidRDefault="00C5475A" w:rsidP="00281482">
      <w:pPr>
        <w:spacing w:line="480" w:lineRule="auto"/>
        <w:jc w:val="both"/>
        <w:rPr>
          <w:b/>
          <w:color w:val="000000" w:themeColor="text1"/>
        </w:rPr>
      </w:pPr>
      <w:r w:rsidRPr="000F5D8B">
        <w:rPr>
          <w:b/>
          <w:color w:val="000000" w:themeColor="text1"/>
        </w:rPr>
        <w:t>2-3- Implications managériales</w:t>
      </w:r>
    </w:p>
    <w:p w:rsidR="00C5475A" w:rsidRPr="00366BF3" w:rsidRDefault="00C5475A" w:rsidP="00281482">
      <w:pPr>
        <w:spacing w:line="480" w:lineRule="auto"/>
        <w:jc w:val="both"/>
        <w:rPr>
          <w:color w:val="000000" w:themeColor="text1"/>
        </w:rPr>
      </w:pPr>
      <w:r w:rsidRPr="00366BF3">
        <w:rPr>
          <w:color w:val="000000" w:themeColor="text1"/>
          <w:szCs w:val="24"/>
        </w:rPr>
        <w:t>La permanence d’un script de neufs items, révélés enquête après enquête, confirme de façon prégnante l’idée qu’une variété de composants produit le service logistique principal dans le domaine fortement contraignant du thermo dirigé en répondant aux préoccupations logistiques des industriels et aux exigences des distributeurs. Par conséquent, la formule de service construite, sa pertinence, sa variété sont la conséquence de la capacité du PSL à combiner et à coordonner les différents éléments composant cette formule de service proposée au client</w:t>
      </w:r>
      <w:r w:rsidR="00A43270" w:rsidRPr="00366BF3">
        <w:rPr>
          <w:color w:val="000000" w:themeColor="text1"/>
          <w:szCs w:val="24"/>
        </w:rPr>
        <w:t>,</w:t>
      </w:r>
      <w:r w:rsidRPr="00366BF3">
        <w:rPr>
          <w:color w:val="000000" w:themeColor="text1"/>
          <w:szCs w:val="24"/>
        </w:rPr>
        <w:t xml:space="preserve"> faisant alors émerger un avantage</w:t>
      </w:r>
      <w:r w:rsidR="00995CD2" w:rsidRPr="00366BF3">
        <w:rPr>
          <w:color w:val="000000" w:themeColor="text1"/>
          <w:szCs w:val="24"/>
        </w:rPr>
        <w:t xml:space="preserve"> </w:t>
      </w:r>
      <w:r w:rsidR="001E74E1" w:rsidRPr="00366BF3">
        <w:rPr>
          <w:color w:val="000000" w:themeColor="text1"/>
          <w:szCs w:val="24"/>
        </w:rPr>
        <w:t>concurrentiel complexe</w:t>
      </w:r>
      <w:r w:rsidRPr="00366BF3">
        <w:rPr>
          <w:color w:val="000000" w:themeColor="text1"/>
          <w:szCs w:val="24"/>
        </w:rPr>
        <w:t xml:space="preserve"> </w:t>
      </w:r>
      <w:r w:rsidR="004C423F" w:rsidRPr="00366BF3">
        <w:rPr>
          <w:color w:val="000000" w:themeColor="text1"/>
          <w:szCs w:val="24"/>
        </w:rPr>
        <w:t xml:space="preserve">et </w:t>
      </w:r>
      <w:r w:rsidR="00995CD2" w:rsidRPr="00366BF3">
        <w:rPr>
          <w:color w:val="000000" w:themeColor="text1"/>
          <w:szCs w:val="24"/>
        </w:rPr>
        <w:t>spécifique</w:t>
      </w:r>
      <w:r w:rsidRPr="00366BF3">
        <w:rPr>
          <w:color w:val="000000" w:themeColor="text1"/>
          <w:szCs w:val="24"/>
        </w:rPr>
        <w:t xml:space="preserve">. Aussi, le classement de nos items et leurs évolution récentes sont autant de signaux faibles pour la construction de formules de service visant à soutenir l’établissement d’une relation de service pérenne. En effet, </w:t>
      </w:r>
      <w:r w:rsidRPr="00366BF3">
        <w:rPr>
          <w:color w:val="000000" w:themeColor="text1"/>
          <w:szCs w:val="24"/>
        </w:rPr>
        <w:lastRenderedPageBreak/>
        <w:t>si les industriels privilégient des formules de service garantissant un taux de service</w:t>
      </w:r>
      <w:r w:rsidR="00F0336E">
        <w:rPr>
          <w:color w:val="000000" w:themeColor="text1"/>
          <w:szCs w:val="24"/>
        </w:rPr>
        <w:t xml:space="preserve"> fiable</w:t>
      </w:r>
      <w:r w:rsidRPr="00366BF3">
        <w:rPr>
          <w:color w:val="000000" w:themeColor="text1"/>
          <w:szCs w:val="24"/>
        </w:rPr>
        <w:t>, des solutions logistiques adéquates selon le type de flux à traiter et à un prix raisonnable</w:t>
      </w:r>
      <w:r w:rsidR="00A43270" w:rsidRPr="00366BF3">
        <w:rPr>
          <w:color w:val="000000" w:themeColor="text1"/>
          <w:szCs w:val="24"/>
        </w:rPr>
        <w:t>,</w:t>
      </w:r>
      <w:r w:rsidRPr="00366BF3">
        <w:rPr>
          <w:color w:val="000000" w:themeColor="text1"/>
          <w:szCs w:val="24"/>
        </w:rPr>
        <w:t xml:space="preserve"> </w:t>
      </w:r>
      <w:r w:rsidRPr="00366BF3">
        <w:rPr>
          <w:color w:val="000000" w:themeColor="text1"/>
        </w:rPr>
        <w:t xml:space="preserve">l’importance prise par la qualité de la relation souligne l’obligation pour le PSL de construire, de valoriser, de distribuer des compétences de l’organisation au bon endroit, au bon moment, quelle que soit la nature du service exigée par le client dans un contexte d’incertitude. </w:t>
      </w:r>
    </w:p>
    <w:p w:rsidR="00ED3301" w:rsidRPr="00D54812" w:rsidRDefault="00995CD2" w:rsidP="00281482">
      <w:pPr>
        <w:spacing w:line="480" w:lineRule="auto"/>
        <w:jc w:val="both"/>
        <w:rPr>
          <w:szCs w:val="24"/>
        </w:rPr>
      </w:pPr>
      <w:r w:rsidRPr="00366BF3">
        <w:rPr>
          <w:color w:val="000000" w:themeColor="text1"/>
        </w:rPr>
        <w:t xml:space="preserve">Plus précisément, </w:t>
      </w:r>
      <w:r w:rsidR="00C5475A" w:rsidRPr="00366BF3">
        <w:rPr>
          <w:color w:val="000000" w:themeColor="text1"/>
        </w:rPr>
        <w:t>l’évolution récente et constante de la qualité de la relation souhaitée par l’industriel souligne à l’avenir l’obligation du PSL de proposer une prestation nécessitant une forte implication des équipes dédiées à la relation quotidienne au client tout en gérant de manière plus performante des dossiers qui se complexifient</w:t>
      </w:r>
      <w:r w:rsidR="00C5475A" w:rsidRPr="00366BF3">
        <w:rPr>
          <w:color w:val="000000" w:themeColor="text1"/>
          <w:szCs w:val="24"/>
        </w:rPr>
        <w:t>. Cette évolution vient alors mettre en exergue l’obligation du PSL d’anticiper, de construire, de valoriser de façon proactive, dans un environnement sous contraintes, des innovations technolog</w:t>
      </w:r>
      <w:r w:rsidR="002E29F7">
        <w:rPr>
          <w:color w:val="000000" w:themeColor="text1"/>
          <w:szCs w:val="24"/>
        </w:rPr>
        <w:t>iques mais surtout managériales</w:t>
      </w:r>
      <w:r w:rsidR="00C5475A" w:rsidRPr="00366BF3">
        <w:rPr>
          <w:color w:val="000000" w:themeColor="text1"/>
        </w:rPr>
        <w:t xml:space="preserve"> </w:t>
      </w:r>
      <w:r w:rsidR="00C5475A" w:rsidRPr="00366BF3">
        <w:rPr>
          <w:color w:val="000000" w:themeColor="text1"/>
          <w:szCs w:val="24"/>
        </w:rPr>
        <w:t>afin de favoriser une différenciation des formules de services selon les métiers et les exigences de distribution des enseignes ; formules de service susceptibles de créer des avantages concurrentiels durables</w:t>
      </w:r>
      <w:r w:rsidR="00C5475A" w:rsidRPr="00D54812">
        <w:rPr>
          <w:szCs w:val="24"/>
        </w:rPr>
        <w:t>.</w:t>
      </w:r>
      <w:r w:rsidR="002E29F7" w:rsidRPr="00D54812">
        <w:rPr>
          <w:szCs w:val="24"/>
        </w:rPr>
        <w:t xml:space="preserve"> </w:t>
      </w:r>
      <w:r w:rsidR="00ED3301" w:rsidRPr="00D54812">
        <w:rPr>
          <w:szCs w:val="24"/>
        </w:rPr>
        <w:t xml:space="preserve">En définitive, Les PSL deviendraient des entreprises de service clairement orientées </w:t>
      </w:r>
      <w:r w:rsidR="008B1F81">
        <w:rPr>
          <w:szCs w:val="24"/>
        </w:rPr>
        <w:t>« </w:t>
      </w:r>
      <w:r w:rsidR="00ED3301" w:rsidRPr="00D54812">
        <w:rPr>
          <w:szCs w:val="24"/>
        </w:rPr>
        <w:t>client</w:t>
      </w:r>
      <w:r w:rsidR="008B1F81">
        <w:rPr>
          <w:szCs w:val="24"/>
        </w:rPr>
        <w:t> »</w:t>
      </w:r>
      <w:r w:rsidR="00ED3301" w:rsidRPr="00D54812">
        <w:rPr>
          <w:szCs w:val="24"/>
        </w:rPr>
        <w:t xml:space="preserve"> au regard du rôle essentiel du personnel de contact dans la construction d’une relation de service plus intense tout en étant capable d’innover et de maitriser la complexité informationnelle des flux prestés.</w:t>
      </w:r>
    </w:p>
    <w:p w:rsidR="00C5475A" w:rsidRPr="00366BF3" w:rsidRDefault="00C5475A" w:rsidP="00281482">
      <w:pPr>
        <w:spacing w:line="480" w:lineRule="auto"/>
        <w:jc w:val="both"/>
        <w:rPr>
          <w:color w:val="000000" w:themeColor="text1"/>
        </w:rPr>
      </w:pPr>
      <w:r w:rsidRPr="00366BF3">
        <w:rPr>
          <w:color w:val="000000" w:themeColor="text1"/>
          <w:szCs w:val="24"/>
        </w:rPr>
        <w:t xml:space="preserve">Ensuite, ces formules de service doivent s’appuyer sur </w:t>
      </w:r>
      <w:r w:rsidRPr="00366BF3">
        <w:rPr>
          <w:color w:val="000000" w:themeColor="text1"/>
        </w:rPr>
        <w:t>la maitrise de deux facteurs-clés de succès, que sont la réactivité et la confiance, au sein d’une relation souvent empreinte de suspicion au regard de la structure de marché de la prestation dans le thermo dirigé (</w:t>
      </w:r>
      <w:r w:rsidRPr="00366BF3">
        <w:rPr>
          <w:i/>
          <w:color w:val="000000" w:themeColor="text1"/>
        </w:rPr>
        <w:t>cf.</w:t>
      </w:r>
      <w:r w:rsidRPr="00366BF3">
        <w:rPr>
          <w:color w:val="000000" w:themeColor="text1"/>
        </w:rPr>
        <w:t xml:space="preserve"> 1.2) entre le PSL et l’industriel.</w:t>
      </w:r>
    </w:p>
    <w:p w:rsidR="00C5475A" w:rsidRPr="00366BF3" w:rsidRDefault="00C5475A" w:rsidP="00281482">
      <w:pPr>
        <w:spacing w:line="480" w:lineRule="auto"/>
        <w:jc w:val="both"/>
        <w:rPr>
          <w:color w:val="000000" w:themeColor="text1"/>
          <w:szCs w:val="24"/>
        </w:rPr>
      </w:pPr>
      <w:r w:rsidRPr="00366BF3">
        <w:rPr>
          <w:color w:val="000000" w:themeColor="text1"/>
        </w:rPr>
        <w:t xml:space="preserve">Tout d’abord, la réactivité apparait comme une réponse aux exigences </w:t>
      </w:r>
      <w:r w:rsidR="00A43270" w:rsidRPr="00366BF3">
        <w:rPr>
          <w:color w:val="000000" w:themeColor="text1"/>
        </w:rPr>
        <w:t>opérationnelles des industriel</w:t>
      </w:r>
      <w:r w:rsidRPr="00366BF3">
        <w:rPr>
          <w:color w:val="000000" w:themeColor="text1"/>
        </w:rPr>
        <w:t xml:space="preserve">s. </w:t>
      </w:r>
      <w:r w:rsidRPr="00366BF3">
        <w:rPr>
          <w:color w:val="000000" w:themeColor="text1"/>
          <w:szCs w:val="24"/>
        </w:rPr>
        <w:t xml:space="preserve">Il est alors incontournable pour un PSL de posséder des réseaux informationnels denses, avec de nombreux relais locaux capables de livrer dans tout l’hexagone en A pour A par massification des flux sur plateformes, afin de proposer une offre globale pour tous types </w:t>
      </w:r>
      <w:r w:rsidRPr="00366BF3">
        <w:rPr>
          <w:color w:val="000000" w:themeColor="text1"/>
          <w:szCs w:val="24"/>
        </w:rPr>
        <w:lastRenderedPageBreak/>
        <w:t>de trafics et dans toutes les directions nationales voire internationales. En effet, le PSL doit être capable d’assurer, tant en interne qu’en externe, une synchronisation de son réseau afin de garantir le service demandé.</w:t>
      </w:r>
    </w:p>
    <w:p w:rsidR="00C5475A" w:rsidRPr="00366BF3" w:rsidRDefault="00C5475A" w:rsidP="00281482">
      <w:pPr>
        <w:spacing w:line="480" w:lineRule="auto"/>
        <w:jc w:val="both"/>
        <w:rPr>
          <w:color w:val="000000" w:themeColor="text1"/>
        </w:rPr>
      </w:pPr>
      <w:r w:rsidRPr="00366BF3">
        <w:rPr>
          <w:color w:val="000000" w:themeColor="text1"/>
          <w:szCs w:val="24"/>
        </w:rPr>
        <w:t xml:space="preserve">Ensuite, la forte interdépendance des acteurs dans la co-contruction de la formule de service encourage le développement et la généralisation d’un savoir-faire collaboratif. </w:t>
      </w:r>
    </w:p>
    <w:p w:rsidR="001863A1" w:rsidRPr="00D54812" w:rsidRDefault="00B61BAE" w:rsidP="001863A1">
      <w:pPr>
        <w:spacing w:line="480" w:lineRule="auto"/>
        <w:jc w:val="both"/>
        <w:rPr>
          <w:szCs w:val="24"/>
        </w:rPr>
      </w:pPr>
      <w:r>
        <w:rPr>
          <w:color w:val="000000" w:themeColor="text1"/>
        </w:rPr>
        <w:t>L</w:t>
      </w:r>
      <w:r w:rsidR="00C5475A" w:rsidRPr="00366BF3">
        <w:rPr>
          <w:color w:val="000000" w:themeColor="text1"/>
        </w:rPr>
        <w:t>a recherche de solutions pour résoudre les dysfonctionnements voire les conflits inhérents à un contexte fortement exigeant</w:t>
      </w:r>
      <w:r w:rsidR="00A43270" w:rsidRPr="00366BF3">
        <w:rPr>
          <w:color w:val="000000" w:themeColor="text1"/>
        </w:rPr>
        <w:t>,</w:t>
      </w:r>
      <w:r w:rsidR="00C5475A" w:rsidRPr="00366BF3">
        <w:rPr>
          <w:color w:val="000000" w:themeColor="text1"/>
        </w:rPr>
        <w:t xml:space="preserve"> favorise le développement d’une forme d’intelligence collective qui dépasse la « simple » coordination de flux physique ; une forme d’intelligence collective empreinte de relations interpersonnelles susceptibles d’instaurer un climat de confiance parfois difficile à établir au regard de la crainte que peut inspirer </w:t>
      </w:r>
      <w:r w:rsidR="00A43270" w:rsidRPr="00366BF3">
        <w:rPr>
          <w:color w:val="000000" w:themeColor="text1"/>
          <w:szCs w:val="24"/>
        </w:rPr>
        <w:t>un PSL</w:t>
      </w:r>
      <w:r w:rsidR="00C5475A" w:rsidRPr="00366BF3">
        <w:rPr>
          <w:color w:val="000000" w:themeColor="text1"/>
          <w:szCs w:val="24"/>
        </w:rPr>
        <w:t xml:space="preserve"> comme STEF (taille du réseau, clients,…) à l’égard d’entreprises de taille très nettement inférieure</w:t>
      </w:r>
      <w:r w:rsidR="00F0336E">
        <w:rPr>
          <w:color w:val="000000" w:themeColor="text1"/>
        </w:rPr>
        <w:t xml:space="preserve">. </w:t>
      </w:r>
      <w:r w:rsidR="00C5475A" w:rsidRPr="00366BF3">
        <w:rPr>
          <w:color w:val="000000" w:themeColor="text1"/>
        </w:rPr>
        <w:t>Ces relations, qui se construisent pas à pas</w:t>
      </w:r>
      <w:r w:rsidR="00C5475A" w:rsidRPr="00366BF3">
        <w:rPr>
          <w:rStyle w:val="Appelnotedebasdep"/>
          <w:color w:val="000000" w:themeColor="text1"/>
        </w:rPr>
        <w:footnoteReference w:id="4"/>
      </w:r>
      <w:r w:rsidR="00C5475A" w:rsidRPr="00366BF3">
        <w:rPr>
          <w:color w:val="000000" w:themeColor="text1"/>
        </w:rPr>
        <w:t xml:space="preserve">, permettent de gérer des situations qui se complexifient. Il s’agit, dans ce contexte, de permettre la réalisation d’échanges plus riches pour résoudre des anomalies, des impératifs de délais ou des livraisons spécifiques. Ces échanges participent directement à la performance du service ; la communication créée prend des formes très diverses : communication interpersonnelle entre l’industriel et l’exploitant, instauration de réunions mensuelles avec les responsables exploitation des PSL pour faire un point sur les litiges et les problèmes rencontrés liés à la qualité des produits, </w:t>
      </w:r>
      <w:r w:rsidR="00C5475A" w:rsidRPr="00366BF3">
        <w:rPr>
          <w:i/>
          <w:color w:val="000000" w:themeColor="text1"/>
        </w:rPr>
        <w:t>etc</w:t>
      </w:r>
      <w:r w:rsidR="00C5475A" w:rsidRPr="00366BF3">
        <w:rPr>
          <w:color w:val="000000" w:themeColor="text1"/>
        </w:rPr>
        <w:t xml:space="preserve">. </w:t>
      </w:r>
      <w:r w:rsidR="00C5475A" w:rsidRPr="00366BF3">
        <w:rPr>
          <w:color w:val="000000" w:themeColor="text1"/>
          <w:szCs w:val="24"/>
        </w:rPr>
        <w:t>Pour ce faire, le PSL se doit de développer des compétences distinctives mais aussi des routines organisationnelles au sein de son organisation qui lui permettront d’entrer dan</w:t>
      </w:r>
      <w:r w:rsidR="002676B8">
        <w:rPr>
          <w:color w:val="000000" w:themeColor="text1"/>
          <w:szCs w:val="24"/>
        </w:rPr>
        <w:t>s cette dynamique collaborative ; une dynamique collaborative</w:t>
      </w:r>
      <w:r>
        <w:rPr>
          <w:color w:val="000000" w:themeColor="text1"/>
          <w:szCs w:val="24"/>
        </w:rPr>
        <w:t xml:space="preserve"> </w:t>
      </w:r>
      <w:r w:rsidR="001863A1" w:rsidRPr="00D54812">
        <w:rPr>
          <w:szCs w:val="24"/>
        </w:rPr>
        <w:t>favorisant la bonne exécution du processus d</w:t>
      </w:r>
      <w:r w:rsidR="008B1F81">
        <w:rPr>
          <w:szCs w:val="24"/>
        </w:rPr>
        <w:t>e prestation dans sa globalité.</w:t>
      </w:r>
      <w:r w:rsidR="001863A1" w:rsidRPr="00D54812">
        <w:rPr>
          <w:szCs w:val="24"/>
        </w:rPr>
        <w:t xml:space="preserve"> </w:t>
      </w:r>
      <w:r w:rsidR="008B1F81">
        <w:rPr>
          <w:szCs w:val="24"/>
        </w:rPr>
        <w:t>Il est à noter que ce processus est</w:t>
      </w:r>
      <w:r w:rsidR="001863A1" w:rsidRPr="00D54812">
        <w:rPr>
          <w:szCs w:val="24"/>
        </w:rPr>
        <w:t xml:space="preserve"> piloté en </w:t>
      </w:r>
      <w:r w:rsidR="008B1F81" w:rsidRPr="00D54812">
        <w:rPr>
          <w:szCs w:val="24"/>
        </w:rPr>
        <w:t>face à</w:t>
      </w:r>
      <w:r w:rsidR="001863A1" w:rsidRPr="00D54812">
        <w:rPr>
          <w:szCs w:val="24"/>
        </w:rPr>
        <w:t xml:space="preserve"> face durant trois phases séquentielles (une phase de sollicitation, une phase de mobilisation et une phase d’exécution) qui vont </w:t>
      </w:r>
      <w:r w:rsidR="001863A1" w:rsidRPr="00D54812">
        <w:rPr>
          <w:szCs w:val="24"/>
        </w:rPr>
        <w:lastRenderedPageBreak/>
        <w:t>émerger chacune comme des moments</w:t>
      </w:r>
      <w:r w:rsidR="001863A1">
        <w:rPr>
          <w:i/>
          <w:szCs w:val="24"/>
        </w:rPr>
        <w:t xml:space="preserve"> </w:t>
      </w:r>
      <w:r w:rsidR="001863A1" w:rsidRPr="00D54812">
        <w:rPr>
          <w:szCs w:val="24"/>
        </w:rPr>
        <w:t>propices à la démonstration au client final des avantages concurrentiels spécifiques du PSL</w:t>
      </w:r>
      <w:r w:rsidR="008B1F81">
        <w:rPr>
          <w:szCs w:val="24"/>
        </w:rPr>
        <w:t>.</w:t>
      </w:r>
    </w:p>
    <w:p w:rsidR="00CC61FC" w:rsidRPr="00D54812" w:rsidRDefault="00C5475A" w:rsidP="00CC61FC">
      <w:pPr>
        <w:spacing w:line="480" w:lineRule="auto"/>
        <w:jc w:val="both"/>
      </w:pPr>
      <w:r w:rsidRPr="00366BF3">
        <w:rPr>
          <w:color w:val="000000" w:themeColor="text1"/>
        </w:rPr>
        <w:t xml:space="preserve">Dès lors, l’industriel serait à la recherche de PSL ayant la capacité de construire des modèles organisationnels suffisamment dédiés à leurs problématiques spécifiques créant, par voie de conséquence des liens durables avec le PSL dans une dynamique commune d’apprentissage. Une telle exigence de la part des industriels </w:t>
      </w:r>
      <w:r w:rsidR="00D85616" w:rsidRPr="00366BF3">
        <w:rPr>
          <w:color w:val="000000" w:themeColor="text1"/>
        </w:rPr>
        <w:t>confirme</w:t>
      </w:r>
      <w:r w:rsidRPr="00366BF3">
        <w:rPr>
          <w:color w:val="000000" w:themeColor="text1"/>
        </w:rPr>
        <w:t xml:space="preserve"> la complexité de la relation à construire car il s’agit </w:t>
      </w:r>
      <w:r w:rsidR="00A43270" w:rsidRPr="00366BF3">
        <w:rPr>
          <w:color w:val="000000" w:themeColor="text1"/>
        </w:rPr>
        <w:t xml:space="preserve">bien </w:t>
      </w:r>
      <w:r w:rsidRPr="00366BF3">
        <w:rPr>
          <w:color w:val="000000" w:themeColor="text1"/>
        </w:rPr>
        <w:t>pour le PSL de déterminer un équilibre entre efficience et personnalisation avec un service à dominante matérielle</w:t>
      </w:r>
      <w:r w:rsidR="00A43270" w:rsidRPr="00366BF3">
        <w:rPr>
          <w:color w:val="000000" w:themeColor="text1"/>
        </w:rPr>
        <w:t xml:space="preserve"> malgré le développement de PSL dématérialisés</w:t>
      </w:r>
      <w:r w:rsidRPr="00366BF3">
        <w:rPr>
          <w:color w:val="000000" w:themeColor="text1"/>
        </w:rPr>
        <w:t xml:space="preserve">. </w:t>
      </w:r>
      <w:r w:rsidRPr="00366BF3">
        <w:rPr>
          <w:color w:val="000000" w:themeColor="text1"/>
          <w:szCs w:val="24"/>
        </w:rPr>
        <w:t>Plus précisément, au regard de cette composante matérielle importante mise en œuvre par le PSL, la plupart des stratégies de positionnement s’élaborent autour de l’efficience</w:t>
      </w:r>
      <w:r w:rsidR="002003F2">
        <w:rPr>
          <w:color w:val="000000" w:themeColor="text1"/>
          <w:szCs w:val="24"/>
        </w:rPr>
        <w:t xml:space="preserve"> </w:t>
      </w:r>
      <w:r w:rsidR="002003F2" w:rsidRPr="00D54812">
        <w:rPr>
          <w:szCs w:val="24"/>
        </w:rPr>
        <w:t xml:space="preserve">car le PSL poursuit une logique d’exploitation de ses réseaux à partir de processus essentiellement coordonnés par des systèmes d’information toujours plus performants. </w:t>
      </w:r>
      <w:r w:rsidRPr="00D54812">
        <w:rPr>
          <w:szCs w:val="24"/>
        </w:rPr>
        <w:t>Mais rien n’empêche le PSL de choisir un positionnement lié à la personnalisation</w:t>
      </w:r>
      <w:r w:rsidR="002003F2" w:rsidRPr="00D54812">
        <w:rPr>
          <w:szCs w:val="24"/>
        </w:rPr>
        <w:t>, de se différencier d’une logique traversée par une volonté de standardisation des formules de services</w:t>
      </w:r>
      <w:r w:rsidRPr="00D54812">
        <w:rPr>
          <w:szCs w:val="24"/>
        </w:rPr>
        <w:t>, pourvu que le segment de marché auquel il s’adresse lui garantisse une rentabilité assez rapidement.</w:t>
      </w:r>
      <w:r w:rsidR="002003F2" w:rsidRPr="00D54812">
        <w:rPr>
          <w:szCs w:val="24"/>
        </w:rPr>
        <w:t xml:space="preserve"> En effet, si la fabrication opérationnelle des services s’orient</w:t>
      </w:r>
      <w:r w:rsidR="002676B8" w:rsidRPr="00D54812">
        <w:rPr>
          <w:szCs w:val="24"/>
        </w:rPr>
        <w:t>e</w:t>
      </w:r>
      <w:r w:rsidR="002003F2" w:rsidRPr="00D54812">
        <w:rPr>
          <w:szCs w:val="24"/>
        </w:rPr>
        <w:t xml:space="preserve"> autour de quelques éléments déjà cités (capacités à réaliser la prestation,…)</w:t>
      </w:r>
      <w:r w:rsidR="008A34EE" w:rsidRPr="00D54812">
        <w:rPr>
          <w:szCs w:val="24"/>
        </w:rPr>
        <w:t xml:space="preserve"> le triangle stratégique des services propose des alternatives susceptibles de favoriser l’émergence </w:t>
      </w:r>
      <w:r w:rsidR="00B61BAE" w:rsidRPr="00D54812">
        <w:rPr>
          <w:szCs w:val="24"/>
        </w:rPr>
        <w:t>de formules de service novatrices</w:t>
      </w:r>
      <w:r w:rsidR="008A34EE" w:rsidRPr="00D54812">
        <w:rPr>
          <w:szCs w:val="24"/>
        </w:rPr>
        <w:t xml:space="preserve"> </w:t>
      </w:r>
      <w:r w:rsidR="00CC61FC" w:rsidRPr="00D54812">
        <w:rPr>
          <w:szCs w:val="24"/>
        </w:rPr>
        <w:t xml:space="preserve">tels que l’on peut en distinguer dans le secteur de l’aérien par exemple (Ryan Air et Easy Jet en tant que compagnies low-cost, Delta Airlines du point de vue de la variété des vols, Singapore Airlines pour la personnalisation de son offre). </w:t>
      </w:r>
    </w:p>
    <w:p w:rsidR="00916B8A" w:rsidRPr="00366BF3" w:rsidRDefault="00916B8A" w:rsidP="00281482">
      <w:pPr>
        <w:spacing w:line="480" w:lineRule="auto"/>
        <w:jc w:val="both"/>
        <w:rPr>
          <w:color w:val="000000" w:themeColor="text1"/>
        </w:rPr>
      </w:pPr>
    </w:p>
    <w:p w:rsidR="00EB4512" w:rsidRPr="00366BF3" w:rsidRDefault="00CA71EB" w:rsidP="00281482">
      <w:pPr>
        <w:spacing w:line="480" w:lineRule="auto"/>
        <w:jc w:val="both"/>
        <w:rPr>
          <w:b/>
          <w:color w:val="000000" w:themeColor="text1"/>
        </w:rPr>
      </w:pPr>
      <w:r w:rsidRPr="00366BF3">
        <w:rPr>
          <w:b/>
          <w:color w:val="000000" w:themeColor="text1"/>
        </w:rPr>
        <w:t>Conclusion</w:t>
      </w:r>
    </w:p>
    <w:p w:rsidR="00C723CE" w:rsidRPr="00366BF3" w:rsidRDefault="00EB4512" w:rsidP="007E1D5A">
      <w:pPr>
        <w:spacing w:line="480" w:lineRule="auto"/>
        <w:jc w:val="both"/>
        <w:rPr>
          <w:b/>
          <w:color w:val="000000" w:themeColor="text1"/>
        </w:rPr>
      </w:pPr>
      <w:r w:rsidRPr="00366BF3">
        <w:rPr>
          <w:color w:val="000000" w:themeColor="text1"/>
        </w:rPr>
        <w:t>L</w:t>
      </w:r>
      <w:r w:rsidR="00D26039" w:rsidRPr="00366BF3">
        <w:rPr>
          <w:color w:val="000000" w:themeColor="text1"/>
        </w:rPr>
        <w:t>es</w:t>
      </w:r>
      <w:r w:rsidR="00916B8A" w:rsidRPr="00366BF3">
        <w:rPr>
          <w:color w:val="000000" w:themeColor="text1"/>
        </w:rPr>
        <w:t xml:space="preserve"> industriels </w:t>
      </w:r>
      <w:r w:rsidR="00D26039" w:rsidRPr="00366BF3">
        <w:rPr>
          <w:color w:val="000000" w:themeColor="text1"/>
        </w:rPr>
        <w:t>et d</w:t>
      </w:r>
      <w:r w:rsidR="00916B8A" w:rsidRPr="00366BF3">
        <w:rPr>
          <w:color w:val="000000" w:themeColor="text1"/>
        </w:rPr>
        <w:t xml:space="preserve">es PSL semblent </w:t>
      </w:r>
      <w:r w:rsidR="00D36571" w:rsidRPr="00366BF3">
        <w:rPr>
          <w:color w:val="000000" w:themeColor="text1"/>
        </w:rPr>
        <w:t xml:space="preserve">de plus en plus </w:t>
      </w:r>
      <w:r w:rsidR="00916B8A" w:rsidRPr="00366BF3">
        <w:rPr>
          <w:color w:val="000000" w:themeColor="text1"/>
        </w:rPr>
        <w:t xml:space="preserve">intéressés à </w:t>
      </w:r>
      <w:r w:rsidR="00D36571" w:rsidRPr="00366BF3">
        <w:rPr>
          <w:color w:val="000000" w:themeColor="text1"/>
        </w:rPr>
        <w:t xml:space="preserve">s’attacher à la </w:t>
      </w:r>
      <w:r w:rsidR="00916B8A" w:rsidRPr="00366BF3">
        <w:rPr>
          <w:color w:val="000000" w:themeColor="text1"/>
        </w:rPr>
        <w:t>constru</w:t>
      </w:r>
      <w:r w:rsidR="00D36571" w:rsidRPr="00366BF3">
        <w:rPr>
          <w:color w:val="000000" w:themeColor="text1"/>
        </w:rPr>
        <w:t>ction</w:t>
      </w:r>
      <w:r w:rsidR="00916B8A" w:rsidRPr="00366BF3">
        <w:rPr>
          <w:color w:val="000000" w:themeColor="text1"/>
        </w:rPr>
        <w:t xml:space="preserve"> de modèles logistiques suffisamment personnalisés </w:t>
      </w:r>
      <w:r w:rsidR="00D26039" w:rsidRPr="00366BF3">
        <w:rPr>
          <w:color w:val="000000" w:themeColor="text1"/>
        </w:rPr>
        <w:t xml:space="preserve">qui </w:t>
      </w:r>
      <w:r w:rsidR="00916B8A" w:rsidRPr="00366BF3">
        <w:rPr>
          <w:color w:val="000000" w:themeColor="text1"/>
        </w:rPr>
        <w:t>cré</w:t>
      </w:r>
      <w:r w:rsidR="00D26039" w:rsidRPr="00366BF3">
        <w:rPr>
          <w:color w:val="000000" w:themeColor="text1"/>
        </w:rPr>
        <w:t>e</w:t>
      </w:r>
      <w:r w:rsidR="00916B8A" w:rsidRPr="00366BF3">
        <w:rPr>
          <w:color w:val="000000" w:themeColor="text1"/>
        </w:rPr>
        <w:t xml:space="preserve">nt un lien plus fort, plus pérenne entre </w:t>
      </w:r>
      <w:r w:rsidR="00916B8A" w:rsidRPr="00366BF3">
        <w:rPr>
          <w:color w:val="000000" w:themeColor="text1"/>
        </w:rPr>
        <w:lastRenderedPageBreak/>
        <w:t xml:space="preserve">ces deux acteurs mais aussi </w:t>
      </w:r>
      <w:r w:rsidR="00D36571" w:rsidRPr="00366BF3">
        <w:rPr>
          <w:color w:val="000000" w:themeColor="text1"/>
        </w:rPr>
        <w:t xml:space="preserve">à développer </w:t>
      </w:r>
      <w:r w:rsidR="00916B8A" w:rsidRPr="00366BF3">
        <w:rPr>
          <w:color w:val="000000" w:themeColor="text1"/>
        </w:rPr>
        <w:t xml:space="preserve">des modèles logistiques suffisamment économiques pour permettre aux industriels de décrocher de nouveaux marchés. </w:t>
      </w:r>
      <w:r w:rsidR="00D36571" w:rsidRPr="00366BF3">
        <w:rPr>
          <w:color w:val="000000" w:themeColor="text1"/>
        </w:rPr>
        <w:t xml:space="preserve">Pour autant, après la tenue des Etats Généraux de l’Alimentation en 2017 et dans l’attente de la transposition dans la loi </w:t>
      </w:r>
      <w:r w:rsidR="009B1F61" w:rsidRPr="00366BF3">
        <w:rPr>
          <w:color w:val="000000" w:themeColor="text1"/>
        </w:rPr>
        <w:t xml:space="preserve">en 2018 </w:t>
      </w:r>
      <w:r w:rsidR="00D36571" w:rsidRPr="00366BF3">
        <w:rPr>
          <w:color w:val="000000" w:themeColor="text1"/>
        </w:rPr>
        <w:t xml:space="preserve">des </w:t>
      </w:r>
      <w:r w:rsidR="009B1F61" w:rsidRPr="00366BF3">
        <w:rPr>
          <w:color w:val="000000" w:themeColor="text1"/>
        </w:rPr>
        <w:t xml:space="preserve">principales </w:t>
      </w:r>
      <w:r w:rsidR="00D36571" w:rsidRPr="00366BF3">
        <w:rPr>
          <w:color w:val="000000" w:themeColor="text1"/>
        </w:rPr>
        <w:t xml:space="preserve">mesures préconisées par le ministre de l’Agriculture, </w:t>
      </w:r>
      <w:r w:rsidR="00916B8A" w:rsidRPr="00366BF3">
        <w:rPr>
          <w:color w:val="000000" w:themeColor="text1"/>
        </w:rPr>
        <w:t xml:space="preserve">la difficulté du métier du PSL </w:t>
      </w:r>
      <w:r w:rsidR="00D36571" w:rsidRPr="00366BF3">
        <w:rPr>
          <w:color w:val="000000" w:themeColor="text1"/>
        </w:rPr>
        <w:t xml:space="preserve">va </w:t>
      </w:r>
      <w:r w:rsidR="00916B8A" w:rsidRPr="00366BF3">
        <w:rPr>
          <w:color w:val="000000" w:themeColor="text1"/>
        </w:rPr>
        <w:t>réside</w:t>
      </w:r>
      <w:r w:rsidR="00D36571" w:rsidRPr="00366BF3">
        <w:rPr>
          <w:color w:val="000000" w:themeColor="text1"/>
        </w:rPr>
        <w:t>r</w:t>
      </w:r>
      <w:r w:rsidR="00916B8A" w:rsidRPr="00366BF3">
        <w:rPr>
          <w:color w:val="000000" w:themeColor="text1"/>
        </w:rPr>
        <w:t xml:space="preserve"> dans </w:t>
      </w:r>
      <w:r w:rsidR="00D26039" w:rsidRPr="00366BF3">
        <w:rPr>
          <w:color w:val="000000" w:themeColor="text1"/>
        </w:rPr>
        <w:t>une aptitude duale</w:t>
      </w:r>
      <w:r w:rsidR="00D36571" w:rsidRPr="00366BF3">
        <w:rPr>
          <w:color w:val="000000" w:themeColor="text1"/>
        </w:rPr>
        <w:t xml:space="preserve"> </w:t>
      </w:r>
      <w:r w:rsidR="00D26039" w:rsidRPr="00366BF3">
        <w:rPr>
          <w:color w:val="000000" w:themeColor="text1"/>
        </w:rPr>
        <w:t xml:space="preserve">ce ces derniers </w:t>
      </w:r>
      <w:r w:rsidR="00916B8A" w:rsidRPr="00366BF3">
        <w:rPr>
          <w:color w:val="000000" w:themeColor="text1"/>
        </w:rPr>
        <w:t>à trouver en permanence un équilibre entre « productivité »</w:t>
      </w:r>
      <w:r w:rsidR="00D36571" w:rsidRPr="00366BF3">
        <w:rPr>
          <w:color w:val="000000" w:themeColor="text1"/>
        </w:rPr>
        <w:t xml:space="preserve"> des formules de services traditionnels</w:t>
      </w:r>
      <w:r w:rsidR="00916B8A" w:rsidRPr="00366BF3">
        <w:rPr>
          <w:color w:val="000000" w:themeColor="text1"/>
        </w:rPr>
        <w:t xml:space="preserve"> et « service personnalisé » </w:t>
      </w:r>
      <w:r w:rsidR="00D36571" w:rsidRPr="00366BF3">
        <w:rPr>
          <w:color w:val="000000" w:themeColor="text1"/>
        </w:rPr>
        <w:t>à destination des nouvelles marques régionales</w:t>
      </w:r>
      <w:r w:rsidR="00D26039" w:rsidRPr="00366BF3">
        <w:rPr>
          <w:color w:val="000000" w:themeColor="text1"/>
        </w:rPr>
        <w:t xml:space="preserve"> et territoriales</w:t>
      </w:r>
      <w:r w:rsidR="00D36571" w:rsidRPr="00366BF3">
        <w:rPr>
          <w:color w:val="000000" w:themeColor="text1"/>
        </w:rPr>
        <w:t>. En</w:t>
      </w:r>
      <w:r w:rsidR="00916B8A" w:rsidRPr="00366BF3">
        <w:rPr>
          <w:color w:val="000000" w:themeColor="text1"/>
        </w:rPr>
        <w:t xml:space="preserve"> </w:t>
      </w:r>
      <w:r w:rsidR="00D36571" w:rsidRPr="00366BF3">
        <w:rPr>
          <w:color w:val="000000" w:themeColor="text1"/>
        </w:rPr>
        <w:t>termes de</w:t>
      </w:r>
      <w:r w:rsidR="00916B8A" w:rsidRPr="00366BF3">
        <w:rPr>
          <w:color w:val="000000" w:themeColor="text1"/>
        </w:rPr>
        <w:t xml:space="preserve"> man</w:t>
      </w:r>
      <w:r w:rsidR="00D36571" w:rsidRPr="00366BF3">
        <w:rPr>
          <w:color w:val="000000" w:themeColor="text1"/>
        </w:rPr>
        <w:t>a</w:t>
      </w:r>
      <w:r w:rsidR="00916B8A" w:rsidRPr="00366BF3">
        <w:rPr>
          <w:color w:val="000000" w:themeColor="text1"/>
        </w:rPr>
        <w:t>gement opérationnel d</w:t>
      </w:r>
      <w:r w:rsidR="00D36571" w:rsidRPr="00366BF3">
        <w:rPr>
          <w:color w:val="000000" w:themeColor="text1"/>
        </w:rPr>
        <w:t>es</w:t>
      </w:r>
      <w:r w:rsidR="00916B8A" w:rsidRPr="00366BF3">
        <w:rPr>
          <w:color w:val="000000" w:themeColor="text1"/>
        </w:rPr>
        <w:t xml:space="preserve"> service</w:t>
      </w:r>
      <w:r w:rsidR="00D36571" w:rsidRPr="00366BF3">
        <w:rPr>
          <w:color w:val="000000" w:themeColor="text1"/>
        </w:rPr>
        <w:t>s</w:t>
      </w:r>
      <w:r w:rsidR="00916B8A" w:rsidRPr="00366BF3">
        <w:rPr>
          <w:color w:val="000000" w:themeColor="text1"/>
        </w:rPr>
        <w:t xml:space="preserve"> logistique</w:t>
      </w:r>
      <w:r w:rsidR="00D36571" w:rsidRPr="00366BF3">
        <w:rPr>
          <w:color w:val="000000" w:themeColor="text1"/>
        </w:rPr>
        <w:t>s,</w:t>
      </w:r>
      <w:r w:rsidR="00916B8A" w:rsidRPr="00366BF3">
        <w:rPr>
          <w:color w:val="000000" w:themeColor="text1"/>
        </w:rPr>
        <w:t xml:space="preserve"> la relation de service</w:t>
      </w:r>
      <w:r w:rsidR="00D36571" w:rsidRPr="00366BF3">
        <w:rPr>
          <w:color w:val="000000" w:themeColor="text1"/>
        </w:rPr>
        <w:t xml:space="preserve"> établit par les PSL tout au long de la chaine de valeur, depuis l’amont agricole jusqu’au consommateur, va se révéler rapidement prépondérante pour justifier de flux désormais tirés par le consommateur. Même si, lors des EGAlim, l’absence de réflexion menée autour du rôle de la fonction logistique interroge, il n’en demeure pas moins que le PSL est la partie prenante à la relation qui, au travers</w:t>
      </w:r>
      <w:r w:rsidR="00D26039" w:rsidRPr="00366BF3">
        <w:rPr>
          <w:color w:val="000000" w:themeColor="text1"/>
        </w:rPr>
        <w:t xml:space="preserve"> de la relation de service proposée, va devoir gérer </w:t>
      </w:r>
      <w:r w:rsidR="00916B8A" w:rsidRPr="00366BF3">
        <w:rPr>
          <w:color w:val="000000" w:themeColor="text1"/>
        </w:rPr>
        <w:t xml:space="preserve">un mix </w:t>
      </w:r>
      <w:r w:rsidR="00D26039" w:rsidRPr="00366BF3">
        <w:rPr>
          <w:color w:val="000000" w:themeColor="text1"/>
        </w:rPr>
        <w:t xml:space="preserve">logistique </w:t>
      </w:r>
      <w:r w:rsidR="00916B8A" w:rsidRPr="00366BF3">
        <w:rPr>
          <w:color w:val="000000" w:themeColor="text1"/>
        </w:rPr>
        <w:t>dont il fau</w:t>
      </w:r>
      <w:r w:rsidR="00D26039" w:rsidRPr="00366BF3">
        <w:rPr>
          <w:color w:val="000000" w:themeColor="text1"/>
        </w:rPr>
        <w:t>dra</w:t>
      </w:r>
      <w:r w:rsidR="00916B8A" w:rsidRPr="00366BF3">
        <w:rPr>
          <w:color w:val="000000" w:themeColor="text1"/>
        </w:rPr>
        <w:t xml:space="preserve"> trouver l</w:t>
      </w:r>
      <w:r w:rsidR="00D26039" w:rsidRPr="00366BF3">
        <w:rPr>
          <w:color w:val="000000" w:themeColor="text1"/>
        </w:rPr>
        <w:t xml:space="preserve">e juste </w:t>
      </w:r>
      <w:r w:rsidR="00916B8A" w:rsidRPr="00366BF3">
        <w:rPr>
          <w:color w:val="000000" w:themeColor="text1"/>
        </w:rPr>
        <w:t>équilibre entre coût, niveau de personnalisation et variété des services proposés</w:t>
      </w:r>
      <w:r w:rsidR="00D26039" w:rsidRPr="00366BF3">
        <w:rPr>
          <w:color w:val="000000" w:themeColor="text1"/>
        </w:rPr>
        <w:t xml:space="preserve"> afin que la valeur ajoutée puisse, tels les saumons dans les cours d’eau, remonter jusqu’aux agriculteurs.</w:t>
      </w:r>
      <w:r w:rsidR="004C010D" w:rsidRPr="00366BF3">
        <w:rPr>
          <w:color w:val="000000" w:themeColor="text1"/>
        </w:rPr>
        <w:t xml:space="preserve"> Enfin, la loi sur l’équilibre des relations commerciales dans le secteur agricole et alimentaire tentera de s’attaquer à la vraie cause de la destruction de valeur et de se mauvaise répartition dans les filières alimentaires à savoir le déséquilibre structurel entre l’aval marchand concentré et l’amont agricole et industriel atomisé.</w:t>
      </w:r>
      <w:r w:rsidR="00DB27E8" w:rsidRPr="00366BF3">
        <w:rPr>
          <w:color w:val="000000" w:themeColor="text1"/>
        </w:rPr>
        <w:t xml:space="preserve"> Là encore, les PSL ne sont pas directement concernés ce qui tend à confirmer que si le PSL est bien partie prenante à la relation, il n’en demeure pas moins qu’il n’est pas considéré par le législateur comme une partie dominante susceptible d’influer sur le prix final des produits par l’instauration d’une rente de situation.</w:t>
      </w:r>
      <w:r w:rsidR="00C067D8" w:rsidRPr="00366BF3">
        <w:rPr>
          <w:b/>
          <w:i/>
          <w:color w:val="000000" w:themeColor="text1"/>
        </w:rPr>
        <w:br w:type="page"/>
      </w:r>
    </w:p>
    <w:p w:rsidR="000D3D9E" w:rsidRPr="00366BF3" w:rsidRDefault="000D3D9E" w:rsidP="000F5D8B">
      <w:pPr>
        <w:spacing w:line="360" w:lineRule="auto"/>
        <w:jc w:val="center"/>
        <w:rPr>
          <w:color w:val="000000" w:themeColor="text1"/>
          <w:szCs w:val="24"/>
        </w:rPr>
      </w:pPr>
      <w:r w:rsidRPr="00366BF3">
        <w:rPr>
          <w:b/>
          <w:color w:val="000000" w:themeColor="text1"/>
          <w:szCs w:val="24"/>
        </w:rPr>
        <w:lastRenderedPageBreak/>
        <w:t>BIBLIOGRAPHIE</w:t>
      </w:r>
    </w:p>
    <w:p w:rsidR="000D3D9E" w:rsidRPr="00366BF3" w:rsidRDefault="000D3D9E" w:rsidP="000F5D8B">
      <w:pPr>
        <w:spacing w:line="360" w:lineRule="auto"/>
        <w:jc w:val="both"/>
        <w:rPr>
          <w:color w:val="000000" w:themeColor="text1"/>
          <w:szCs w:val="24"/>
          <w:lang w:val="en-US"/>
        </w:rPr>
      </w:pPr>
    </w:p>
    <w:p w:rsidR="000D3D9E" w:rsidRPr="00366BF3" w:rsidRDefault="000D3D9E" w:rsidP="000F5D8B">
      <w:pPr>
        <w:pStyle w:val="Paragraphedeliste"/>
        <w:numPr>
          <w:ilvl w:val="0"/>
          <w:numId w:val="4"/>
        </w:numPr>
        <w:spacing w:line="360" w:lineRule="auto"/>
        <w:ind w:left="284" w:hanging="284"/>
        <w:contextualSpacing w:val="0"/>
        <w:jc w:val="both"/>
        <w:rPr>
          <w:color w:val="000000" w:themeColor="text1"/>
          <w:szCs w:val="24"/>
        </w:rPr>
      </w:pPr>
      <w:r w:rsidRPr="00366BF3">
        <w:rPr>
          <w:color w:val="000000" w:themeColor="text1"/>
          <w:szCs w:val="24"/>
        </w:rPr>
        <w:t xml:space="preserve">Allain M.L., Chambolle C., Turolla, S. (2016), </w:t>
      </w:r>
      <w:r w:rsidRPr="00366BF3">
        <w:rPr>
          <w:i/>
          <w:color w:val="000000" w:themeColor="text1"/>
          <w:szCs w:val="24"/>
        </w:rPr>
        <w:t>Evaluation des Effets de la Loi de Modernisation Economique et des Stratégies d’Alliances à l’Achat des Distributeurs, Rapport, Ministère de l’économie, de l’industrie et du numérique</w:t>
      </w:r>
      <w:r w:rsidRPr="00366BF3">
        <w:rPr>
          <w:color w:val="000000" w:themeColor="text1"/>
          <w:szCs w:val="24"/>
        </w:rPr>
        <w:t>.</w:t>
      </w:r>
    </w:p>
    <w:p w:rsidR="000D3D9E" w:rsidRPr="00366BF3" w:rsidRDefault="000D3D9E" w:rsidP="000F5D8B">
      <w:pPr>
        <w:pStyle w:val="Paragraphedeliste"/>
        <w:numPr>
          <w:ilvl w:val="0"/>
          <w:numId w:val="4"/>
        </w:numPr>
        <w:spacing w:line="360" w:lineRule="auto"/>
        <w:ind w:left="284" w:hanging="284"/>
        <w:contextualSpacing w:val="0"/>
        <w:jc w:val="both"/>
        <w:rPr>
          <w:color w:val="000000" w:themeColor="text1"/>
          <w:szCs w:val="24"/>
          <w:lang w:val="en-US"/>
        </w:rPr>
      </w:pPr>
      <w:r w:rsidRPr="00366BF3">
        <w:rPr>
          <w:color w:val="000000" w:themeColor="text1"/>
          <w:szCs w:val="24"/>
          <w:lang w:val="en-US"/>
        </w:rPr>
        <w:t xml:space="preserve">Anderson E. J., Coltman T. Devinney T. M., Keating B. (2011), What drives the choice of a third-party logistics?, </w:t>
      </w:r>
      <w:r w:rsidRPr="00366BF3">
        <w:rPr>
          <w:i/>
          <w:color w:val="000000" w:themeColor="text1"/>
          <w:szCs w:val="24"/>
          <w:lang w:val="en-US"/>
        </w:rPr>
        <w:t>Journal of Supply Chain Management</w:t>
      </w:r>
      <w:r w:rsidRPr="00366BF3">
        <w:rPr>
          <w:color w:val="000000" w:themeColor="text1"/>
          <w:szCs w:val="24"/>
          <w:lang w:val="en-US"/>
        </w:rPr>
        <w:t>, Vol 47, n°47, pp. 97-115.</w:t>
      </w:r>
    </w:p>
    <w:p w:rsidR="000D3D9E" w:rsidRPr="00366BF3" w:rsidRDefault="000D3D9E" w:rsidP="000F5D8B">
      <w:pPr>
        <w:pStyle w:val="Paragraphedeliste"/>
        <w:numPr>
          <w:ilvl w:val="0"/>
          <w:numId w:val="4"/>
        </w:numPr>
        <w:spacing w:line="360" w:lineRule="auto"/>
        <w:ind w:left="284" w:hanging="284"/>
        <w:contextualSpacing w:val="0"/>
        <w:jc w:val="both"/>
        <w:rPr>
          <w:color w:val="000000" w:themeColor="text1"/>
          <w:szCs w:val="24"/>
        </w:rPr>
      </w:pPr>
      <w:r w:rsidRPr="00366BF3">
        <w:rPr>
          <w:color w:val="000000" w:themeColor="text1"/>
          <w:szCs w:val="24"/>
        </w:rPr>
        <w:t xml:space="preserve">Baranger P., </w:t>
      </w:r>
      <w:r w:rsidRPr="00366BF3">
        <w:rPr>
          <w:iCs/>
          <w:color w:val="000000" w:themeColor="text1"/>
          <w:szCs w:val="24"/>
        </w:rPr>
        <w:t xml:space="preserve">Dang N’Guyen G., </w:t>
      </w:r>
      <w:r w:rsidRPr="00366BF3">
        <w:rPr>
          <w:color w:val="000000" w:themeColor="text1"/>
          <w:szCs w:val="24"/>
        </w:rPr>
        <w:t xml:space="preserve">Leray Y., Mevel O. (2016), </w:t>
      </w:r>
      <w:r w:rsidRPr="00366BF3">
        <w:rPr>
          <w:i/>
          <w:color w:val="000000" w:themeColor="text1"/>
          <w:szCs w:val="24"/>
        </w:rPr>
        <w:t>Le Management Opérationnel des Services</w:t>
      </w:r>
      <w:r w:rsidRPr="00366BF3">
        <w:rPr>
          <w:color w:val="000000" w:themeColor="text1"/>
          <w:szCs w:val="24"/>
        </w:rPr>
        <w:t>, Techniques de Gestion, Editions Economica</w:t>
      </w:r>
      <w:r w:rsidR="00654CC7">
        <w:rPr>
          <w:color w:val="000000" w:themeColor="text1"/>
          <w:szCs w:val="24"/>
        </w:rPr>
        <w:t>, Paris</w:t>
      </w:r>
      <w:r w:rsidRPr="00366BF3">
        <w:rPr>
          <w:color w:val="000000" w:themeColor="text1"/>
          <w:szCs w:val="24"/>
        </w:rPr>
        <w:t>.</w:t>
      </w:r>
    </w:p>
    <w:p w:rsidR="000D3D9E" w:rsidRPr="00366BF3" w:rsidRDefault="000D3D9E" w:rsidP="000F5D8B">
      <w:pPr>
        <w:pStyle w:val="Paragraphedeliste"/>
        <w:numPr>
          <w:ilvl w:val="0"/>
          <w:numId w:val="4"/>
        </w:numPr>
        <w:spacing w:line="360" w:lineRule="auto"/>
        <w:ind w:left="284" w:hanging="284"/>
        <w:contextualSpacing w:val="0"/>
        <w:jc w:val="both"/>
        <w:rPr>
          <w:color w:val="000000" w:themeColor="text1"/>
          <w:szCs w:val="24"/>
        </w:rPr>
      </w:pPr>
      <w:r w:rsidRPr="00366BF3">
        <w:rPr>
          <w:color w:val="000000" w:themeColor="text1"/>
          <w:szCs w:val="24"/>
        </w:rPr>
        <w:t xml:space="preserve">Biscourp P. (2014), Les réformes des relations commerciales des années 2000 ont-elles restauré la concurrence par les prix ?, </w:t>
      </w:r>
      <w:r w:rsidRPr="00366BF3">
        <w:rPr>
          <w:i/>
          <w:color w:val="000000" w:themeColor="text1"/>
          <w:szCs w:val="24"/>
        </w:rPr>
        <w:t>Insee Analyses</w:t>
      </w:r>
      <w:r w:rsidRPr="00366BF3">
        <w:rPr>
          <w:color w:val="000000" w:themeColor="text1"/>
          <w:szCs w:val="24"/>
        </w:rPr>
        <w:t>, n°16.</w:t>
      </w:r>
    </w:p>
    <w:p w:rsidR="000D3D9E" w:rsidRPr="00366BF3" w:rsidRDefault="000D3D9E" w:rsidP="000F5D8B">
      <w:pPr>
        <w:pStyle w:val="Paragraphedeliste"/>
        <w:numPr>
          <w:ilvl w:val="0"/>
          <w:numId w:val="4"/>
        </w:numPr>
        <w:spacing w:line="360" w:lineRule="auto"/>
        <w:ind w:left="284" w:hanging="284"/>
        <w:contextualSpacing w:val="0"/>
        <w:jc w:val="both"/>
        <w:rPr>
          <w:color w:val="000000" w:themeColor="text1"/>
          <w:szCs w:val="24"/>
          <w:lang w:val="en-US"/>
        </w:rPr>
      </w:pPr>
      <w:r w:rsidRPr="00366BF3">
        <w:rPr>
          <w:color w:val="000000" w:themeColor="text1"/>
          <w:szCs w:val="24"/>
          <w:lang w:val="en-US"/>
        </w:rPr>
        <w:t xml:space="preserve">Bonacich E., Wilson J.B. (2005), Hoisted by Its Own Petard: Organizing Wal-Mart's Logistics Workers, </w:t>
      </w:r>
      <w:r w:rsidRPr="00366BF3">
        <w:rPr>
          <w:rStyle w:val="CitationHTML"/>
          <w:color w:val="000000" w:themeColor="text1"/>
          <w:szCs w:val="24"/>
          <w:lang w:val="en-US"/>
        </w:rPr>
        <w:t>New Labor Forum</w:t>
      </w:r>
      <w:r w:rsidRPr="00366BF3">
        <w:rPr>
          <w:color w:val="000000" w:themeColor="text1"/>
          <w:szCs w:val="24"/>
          <w:lang w:val="en-US"/>
        </w:rPr>
        <w:t>, Vol 14, n°2, pp. 67-75.</w:t>
      </w:r>
    </w:p>
    <w:p w:rsidR="000D3D9E" w:rsidRPr="00366BF3" w:rsidRDefault="000D3D9E" w:rsidP="000F5D8B">
      <w:pPr>
        <w:pStyle w:val="Paragraphedeliste"/>
        <w:numPr>
          <w:ilvl w:val="0"/>
          <w:numId w:val="4"/>
        </w:numPr>
        <w:spacing w:line="360" w:lineRule="auto"/>
        <w:ind w:left="284" w:hanging="284"/>
        <w:jc w:val="both"/>
        <w:rPr>
          <w:color w:val="000000" w:themeColor="text1"/>
          <w:szCs w:val="24"/>
        </w:rPr>
      </w:pPr>
      <w:r w:rsidRPr="00366BF3">
        <w:rPr>
          <w:color w:val="000000" w:themeColor="text1"/>
          <w:szCs w:val="24"/>
        </w:rPr>
        <w:t xml:space="preserve">Camman, Ch., Livolsi, L. (2012), La mutualisation logistique dans le canal de distribution : une stratégie de contournement de la loi de Modernisation de l’Economie, </w:t>
      </w:r>
      <w:r w:rsidRPr="00366BF3">
        <w:rPr>
          <w:i/>
          <w:color w:val="000000" w:themeColor="text1"/>
          <w:szCs w:val="24"/>
        </w:rPr>
        <w:t>Management &amp; Avenir</w:t>
      </w:r>
      <w:r w:rsidRPr="00366BF3">
        <w:rPr>
          <w:color w:val="000000" w:themeColor="text1"/>
          <w:szCs w:val="24"/>
        </w:rPr>
        <w:t>, n°52, pp. 99-118.</w:t>
      </w:r>
    </w:p>
    <w:p w:rsidR="000D3D9E" w:rsidRPr="00366BF3" w:rsidRDefault="000D3D9E" w:rsidP="000F5D8B">
      <w:pPr>
        <w:pStyle w:val="Paragraphedeliste"/>
        <w:numPr>
          <w:ilvl w:val="0"/>
          <w:numId w:val="4"/>
        </w:numPr>
        <w:spacing w:line="360" w:lineRule="auto"/>
        <w:ind w:left="284" w:hanging="284"/>
        <w:contextualSpacing w:val="0"/>
        <w:jc w:val="both"/>
        <w:rPr>
          <w:color w:val="000000" w:themeColor="text1"/>
          <w:szCs w:val="24"/>
        </w:rPr>
      </w:pPr>
      <w:r w:rsidRPr="00366BF3">
        <w:rPr>
          <w:color w:val="000000" w:themeColor="text1"/>
          <w:szCs w:val="24"/>
        </w:rPr>
        <w:t xml:space="preserve">Duong H. T., Paché G. (2015), Capacité d’innovation du prestataire de service logistique et performance perçue par l’industriel : Quelle relation dans le contexte Vietnamien ?, </w:t>
      </w:r>
      <w:r w:rsidRPr="00366BF3">
        <w:rPr>
          <w:i/>
          <w:color w:val="000000" w:themeColor="text1"/>
          <w:szCs w:val="24"/>
        </w:rPr>
        <w:t>Innovation</w:t>
      </w:r>
      <w:r w:rsidRPr="00366BF3">
        <w:rPr>
          <w:color w:val="000000" w:themeColor="text1"/>
          <w:szCs w:val="24"/>
        </w:rPr>
        <w:t xml:space="preserve">, n°45, Vol 2, pp. 137-164.  </w:t>
      </w:r>
    </w:p>
    <w:p w:rsidR="000D3D9E" w:rsidRPr="00366BF3" w:rsidRDefault="000D3D9E" w:rsidP="000F5D8B">
      <w:pPr>
        <w:pStyle w:val="Paragraphedeliste"/>
        <w:numPr>
          <w:ilvl w:val="0"/>
          <w:numId w:val="4"/>
        </w:numPr>
        <w:spacing w:line="360" w:lineRule="auto"/>
        <w:ind w:left="284" w:hanging="284"/>
        <w:contextualSpacing w:val="0"/>
        <w:jc w:val="both"/>
        <w:rPr>
          <w:color w:val="000000" w:themeColor="text1"/>
          <w:szCs w:val="24"/>
          <w:lang w:val="en-US"/>
        </w:rPr>
      </w:pPr>
      <w:r w:rsidRPr="00366BF3">
        <w:rPr>
          <w:color w:val="000000" w:themeColor="text1"/>
          <w:szCs w:val="24"/>
          <w:lang w:val="en-US"/>
        </w:rPr>
        <w:t xml:space="preserve">Fabbe-Costes N., Jhare M., Roussat Ch. (2008), Towards a typology of the roles of Logistics Service Provider as “supply chain Integrators”, </w:t>
      </w:r>
      <w:r w:rsidRPr="00366BF3">
        <w:rPr>
          <w:i/>
          <w:color w:val="000000" w:themeColor="text1"/>
          <w:szCs w:val="24"/>
          <w:lang w:val="en-US"/>
        </w:rPr>
        <w:t>Supply Chain Forum</w:t>
      </w:r>
      <w:r w:rsidRPr="00366BF3">
        <w:rPr>
          <w:color w:val="000000" w:themeColor="text1"/>
          <w:szCs w:val="24"/>
          <w:lang w:val="en-US"/>
        </w:rPr>
        <w:t>, Vol 9, n°2, pp. 28-43.</w:t>
      </w:r>
    </w:p>
    <w:p w:rsidR="000D3D9E" w:rsidRPr="00366BF3" w:rsidRDefault="000D3D9E" w:rsidP="000F5D8B">
      <w:pPr>
        <w:pStyle w:val="Paragraphedeliste"/>
        <w:numPr>
          <w:ilvl w:val="0"/>
          <w:numId w:val="4"/>
        </w:numPr>
        <w:spacing w:line="360" w:lineRule="auto"/>
        <w:ind w:left="284" w:hanging="284"/>
        <w:contextualSpacing w:val="0"/>
        <w:jc w:val="both"/>
        <w:rPr>
          <w:color w:val="000000" w:themeColor="text1"/>
          <w:szCs w:val="24"/>
        </w:rPr>
      </w:pPr>
      <w:r w:rsidRPr="00366BF3">
        <w:rPr>
          <w:color w:val="000000" w:themeColor="text1"/>
          <w:szCs w:val="24"/>
        </w:rPr>
        <w:t xml:space="preserve">Filser M., Des Garets V., Paché, G. (2012), </w:t>
      </w:r>
      <w:r w:rsidRPr="00366BF3">
        <w:rPr>
          <w:i/>
          <w:color w:val="000000" w:themeColor="text1"/>
          <w:szCs w:val="24"/>
        </w:rPr>
        <w:t>La distribution, organisation et stratégie</w:t>
      </w:r>
      <w:r w:rsidRPr="00366BF3">
        <w:rPr>
          <w:color w:val="000000" w:themeColor="text1"/>
          <w:szCs w:val="24"/>
        </w:rPr>
        <w:t>, EMS, 2ème édition</w:t>
      </w:r>
      <w:r w:rsidR="00E001FD">
        <w:rPr>
          <w:color w:val="000000" w:themeColor="text1"/>
          <w:szCs w:val="24"/>
        </w:rPr>
        <w:t>, Cormelles-Le-Royal</w:t>
      </w:r>
      <w:r w:rsidRPr="00366BF3">
        <w:rPr>
          <w:color w:val="000000" w:themeColor="text1"/>
          <w:szCs w:val="24"/>
        </w:rPr>
        <w:t xml:space="preserve">. </w:t>
      </w:r>
    </w:p>
    <w:p w:rsidR="000D3D9E" w:rsidRPr="00366BF3" w:rsidRDefault="000D3D9E" w:rsidP="000F5D8B">
      <w:pPr>
        <w:pStyle w:val="Paragraphedeliste"/>
        <w:numPr>
          <w:ilvl w:val="0"/>
          <w:numId w:val="4"/>
        </w:numPr>
        <w:spacing w:line="360" w:lineRule="auto"/>
        <w:ind w:left="284" w:hanging="284"/>
        <w:contextualSpacing w:val="0"/>
        <w:jc w:val="both"/>
        <w:rPr>
          <w:color w:val="000000" w:themeColor="text1"/>
          <w:szCs w:val="24"/>
        </w:rPr>
      </w:pPr>
      <w:r w:rsidRPr="00366BF3">
        <w:rPr>
          <w:color w:val="000000" w:themeColor="text1"/>
          <w:szCs w:val="24"/>
        </w:rPr>
        <w:t xml:space="preserve">Fulconis F., Paché G., Duong H.T. (2017), « Ne met pas de l’huile qui veut » : retour aux origines du métier de Prestataires de Services Logistiques, in Paché G, </w:t>
      </w:r>
      <w:r w:rsidRPr="00366BF3">
        <w:rPr>
          <w:i/>
          <w:color w:val="000000" w:themeColor="text1"/>
          <w:szCs w:val="24"/>
        </w:rPr>
        <w:t>Images de la logistique, éclairages managériaux et sociétaux</w:t>
      </w:r>
      <w:r w:rsidRPr="00366BF3">
        <w:rPr>
          <w:color w:val="000000" w:themeColor="text1"/>
          <w:szCs w:val="24"/>
        </w:rPr>
        <w:t>,</w:t>
      </w:r>
      <w:r w:rsidR="00F96B17">
        <w:rPr>
          <w:color w:val="000000" w:themeColor="text1"/>
          <w:szCs w:val="24"/>
        </w:rPr>
        <w:t xml:space="preserve"> Presses Universitaires d’</w:t>
      </w:r>
      <w:r w:rsidR="002A3D1F">
        <w:rPr>
          <w:color w:val="000000" w:themeColor="text1"/>
          <w:szCs w:val="24"/>
        </w:rPr>
        <w:t>Aix-Marseille</w:t>
      </w:r>
      <w:r w:rsidR="00F96B17">
        <w:rPr>
          <w:color w:val="000000" w:themeColor="text1"/>
          <w:szCs w:val="24"/>
        </w:rPr>
        <w:t>,</w:t>
      </w:r>
      <w:r w:rsidRPr="00366BF3">
        <w:rPr>
          <w:color w:val="000000" w:themeColor="text1"/>
          <w:szCs w:val="24"/>
        </w:rPr>
        <w:t xml:space="preserve"> pp. 233-242.</w:t>
      </w:r>
    </w:p>
    <w:p w:rsidR="000D3D9E" w:rsidRPr="00366BF3" w:rsidRDefault="000D3D9E" w:rsidP="000F5D8B">
      <w:pPr>
        <w:pStyle w:val="Paragraphedeliste"/>
        <w:numPr>
          <w:ilvl w:val="0"/>
          <w:numId w:val="4"/>
        </w:numPr>
        <w:spacing w:line="360" w:lineRule="auto"/>
        <w:ind w:left="284" w:hanging="284"/>
        <w:contextualSpacing w:val="0"/>
        <w:jc w:val="both"/>
        <w:rPr>
          <w:color w:val="000000" w:themeColor="text1"/>
          <w:szCs w:val="24"/>
        </w:rPr>
      </w:pPr>
      <w:r w:rsidRPr="00366BF3">
        <w:rPr>
          <w:bCs/>
          <w:color w:val="000000" w:themeColor="text1"/>
          <w:szCs w:val="24"/>
        </w:rPr>
        <w:t xml:space="preserve">Fulconis F., Roveillo G. </w:t>
      </w:r>
      <w:r w:rsidRPr="00366BF3">
        <w:rPr>
          <w:color w:val="000000" w:themeColor="text1"/>
          <w:szCs w:val="24"/>
        </w:rPr>
        <w:t>(2017), L’intermédiation logistique dans le pilotage des chaînes multi-acteurs : proposition d’une grille d’analyse,</w:t>
      </w:r>
      <w:r w:rsidRPr="00366BF3">
        <w:rPr>
          <w:i/>
          <w:color w:val="000000" w:themeColor="text1"/>
          <w:szCs w:val="24"/>
        </w:rPr>
        <w:t xml:space="preserve"> Revue</w:t>
      </w:r>
      <w:r w:rsidRPr="00366BF3">
        <w:rPr>
          <w:color w:val="000000" w:themeColor="text1"/>
          <w:szCs w:val="24"/>
        </w:rPr>
        <w:t xml:space="preserve"> </w:t>
      </w:r>
      <w:r w:rsidRPr="00366BF3">
        <w:rPr>
          <w:i/>
          <w:color w:val="000000" w:themeColor="text1"/>
          <w:szCs w:val="24"/>
        </w:rPr>
        <w:t>Management et Avenir</w:t>
      </w:r>
      <w:r w:rsidRPr="00366BF3">
        <w:rPr>
          <w:color w:val="000000" w:themeColor="text1"/>
          <w:szCs w:val="24"/>
        </w:rPr>
        <w:t>, n°98, pp. 163-189.</w:t>
      </w:r>
    </w:p>
    <w:p w:rsidR="000D3D9E" w:rsidRPr="00366BF3" w:rsidRDefault="000D3D9E" w:rsidP="000F5D8B">
      <w:pPr>
        <w:pStyle w:val="Paragraphedeliste"/>
        <w:numPr>
          <w:ilvl w:val="0"/>
          <w:numId w:val="4"/>
        </w:numPr>
        <w:spacing w:line="360" w:lineRule="auto"/>
        <w:ind w:left="284" w:hanging="284"/>
        <w:contextualSpacing w:val="0"/>
        <w:jc w:val="both"/>
        <w:rPr>
          <w:color w:val="000000" w:themeColor="text1"/>
          <w:szCs w:val="24"/>
        </w:rPr>
      </w:pPr>
      <w:r w:rsidRPr="00366BF3">
        <w:rPr>
          <w:color w:val="000000" w:themeColor="text1"/>
          <w:szCs w:val="24"/>
        </w:rPr>
        <w:t xml:space="preserve">Fulconis F., Saglietto L. (2015), Intermédiation logistique et pilotage des supply chains : de nouvelles responsabilités pour le PSL, in C. Pardo et G. Paché, </w:t>
      </w:r>
      <w:r w:rsidRPr="00366BF3">
        <w:rPr>
          <w:i/>
          <w:color w:val="000000" w:themeColor="text1"/>
          <w:szCs w:val="24"/>
        </w:rPr>
        <w:t>Commerce de gros, commerce interentreprises : les enjeux de l’intermédiation</w:t>
      </w:r>
      <w:r w:rsidRPr="00366BF3">
        <w:rPr>
          <w:color w:val="000000" w:themeColor="text1"/>
          <w:szCs w:val="24"/>
        </w:rPr>
        <w:t>, EMS,</w:t>
      </w:r>
      <w:r w:rsidR="00654CC7">
        <w:rPr>
          <w:color w:val="000000" w:themeColor="text1"/>
          <w:szCs w:val="24"/>
        </w:rPr>
        <w:t xml:space="preserve"> </w:t>
      </w:r>
      <w:r w:rsidR="002A3D1F">
        <w:rPr>
          <w:color w:val="000000" w:themeColor="text1"/>
          <w:szCs w:val="24"/>
        </w:rPr>
        <w:t xml:space="preserve">Cormelles-Le-Royal, </w:t>
      </w:r>
      <w:r w:rsidR="00654CC7">
        <w:rPr>
          <w:color w:val="000000" w:themeColor="text1"/>
          <w:szCs w:val="24"/>
        </w:rPr>
        <w:t>Chapitre 5,</w:t>
      </w:r>
      <w:r w:rsidRPr="00366BF3">
        <w:rPr>
          <w:color w:val="000000" w:themeColor="text1"/>
          <w:szCs w:val="24"/>
        </w:rPr>
        <w:t xml:space="preserve"> pp. 101-122.</w:t>
      </w:r>
    </w:p>
    <w:p w:rsidR="000D3D9E" w:rsidRPr="00366BF3" w:rsidRDefault="000D3D9E" w:rsidP="000F5D8B">
      <w:pPr>
        <w:pStyle w:val="Paragraphedeliste"/>
        <w:numPr>
          <w:ilvl w:val="0"/>
          <w:numId w:val="4"/>
        </w:numPr>
        <w:spacing w:line="360" w:lineRule="auto"/>
        <w:ind w:left="284" w:hanging="284"/>
        <w:contextualSpacing w:val="0"/>
        <w:jc w:val="both"/>
        <w:rPr>
          <w:color w:val="000000" w:themeColor="text1"/>
          <w:szCs w:val="24"/>
        </w:rPr>
      </w:pPr>
      <w:r w:rsidRPr="00366BF3">
        <w:rPr>
          <w:color w:val="000000" w:themeColor="text1"/>
          <w:szCs w:val="24"/>
        </w:rPr>
        <w:lastRenderedPageBreak/>
        <w:t xml:space="preserve">George A., Mannarini M., Travaille D., Logistique d’encastrement et de découplage au du développement </w:t>
      </w:r>
      <w:r w:rsidR="00F96B17" w:rsidRPr="00366BF3">
        <w:rPr>
          <w:color w:val="000000" w:themeColor="text1"/>
          <w:szCs w:val="24"/>
        </w:rPr>
        <w:t>durable</w:t>
      </w:r>
      <w:r w:rsidRPr="00366BF3">
        <w:rPr>
          <w:color w:val="000000" w:themeColor="text1"/>
          <w:szCs w:val="24"/>
        </w:rPr>
        <w:t xml:space="preserve">. Le cas des relations entre Prestataires Logistiques et GMS, </w:t>
      </w:r>
      <w:r w:rsidRPr="00366BF3">
        <w:rPr>
          <w:i/>
          <w:color w:val="000000" w:themeColor="text1"/>
          <w:szCs w:val="24"/>
        </w:rPr>
        <w:t xml:space="preserve">Revue Management et avenir, </w:t>
      </w:r>
      <w:r w:rsidRPr="00366BF3">
        <w:rPr>
          <w:color w:val="000000" w:themeColor="text1"/>
          <w:szCs w:val="24"/>
        </w:rPr>
        <w:t>Vol 1, n°67, pp. 13-32.</w:t>
      </w:r>
    </w:p>
    <w:p w:rsidR="000D3D9E" w:rsidRPr="00366BF3" w:rsidRDefault="000D3D9E" w:rsidP="000F5D8B">
      <w:pPr>
        <w:pStyle w:val="Paragraphedeliste"/>
        <w:numPr>
          <w:ilvl w:val="0"/>
          <w:numId w:val="4"/>
        </w:numPr>
        <w:spacing w:line="360" w:lineRule="auto"/>
        <w:ind w:left="284" w:hanging="284"/>
        <w:contextualSpacing w:val="0"/>
        <w:jc w:val="both"/>
        <w:rPr>
          <w:color w:val="000000" w:themeColor="text1"/>
          <w:szCs w:val="24"/>
        </w:rPr>
      </w:pPr>
      <w:r w:rsidRPr="00366BF3">
        <w:rPr>
          <w:color w:val="000000" w:themeColor="text1"/>
          <w:szCs w:val="24"/>
        </w:rPr>
        <w:t>Gozé-Bardin, I.</w:t>
      </w:r>
      <w:r w:rsidRPr="00366BF3">
        <w:rPr>
          <w:b/>
          <w:color w:val="000000" w:themeColor="text1"/>
          <w:szCs w:val="24"/>
        </w:rPr>
        <w:t xml:space="preserve"> </w:t>
      </w:r>
      <w:r w:rsidRPr="00366BF3">
        <w:rPr>
          <w:color w:val="000000" w:themeColor="text1"/>
          <w:szCs w:val="24"/>
        </w:rPr>
        <w:t xml:space="preserve">(2009), les défis de la logistique de distribution à l’horizon 2035, </w:t>
      </w:r>
      <w:r w:rsidRPr="00366BF3">
        <w:rPr>
          <w:i/>
          <w:color w:val="000000" w:themeColor="text1"/>
          <w:szCs w:val="24"/>
        </w:rPr>
        <w:t xml:space="preserve">Revue Management et avenir, </w:t>
      </w:r>
      <w:r w:rsidRPr="00366BF3">
        <w:rPr>
          <w:color w:val="000000" w:themeColor="text1"/>
          <w:szCs w:val="24"/>
        </w:rPr>
        <w:t>Vol 4, n°24, pp. 217-236.</w:t>
      </w:r>
    </w:p>
    <w:p w:rsidR="000D3D9E" w:rsidRPr="00366BF3" w:rsidRDefault="000D3D9E" w:rsidP="000F5D8B">
      <w:pPr>
        <w:pStyle w:val="Paragraphedeliste"/>
        <w:numPr>
          <w:ilvl w:val="0"/>
          <w:numId w:val="4"/>
        </w:numPr>
        <w:spacing w:line="360" w:lineRule="auto"/>
        <w:ind w:left="284" w:hanging="284"/>
        <w:contextualSpacing w:val="0"/>
        <w:jc w:val="both"/>
        <w:rPr>
          <w:color w:val="000000" w:themeColor="text1"/>
          <w:szCs w:val="24"/>
          <w:lang w:val="en-US"/>
        </w:rPr>
      </w:pPr>
      <w:r w:rsidRPr="00366BF3">
        <w:rPr>
          <w:color w:val="000000" w:themeColor="text1"/>
          <w:szCs w:val="24"/>
          <w:lang w:val="en-US"/>
        </w:rPr>
        <w:t xml:space="preserve">Grönross C. (2000), </w:t>
      </w:r>
      <w:r w:rsidRPr="00366BF3">
        <w:rPr>
          <w:i/>
          <w:color w:val="000000" w:themeColor="text1"/>
          <w:szCs w:val="24"/>
          <w:lang w:val="en-US"/>
        </w:rPr>
        <w:t>Service Management and Marketing : A Customer Relationship Management Approach</w:t>
      </w:r>
      <w:r w:rsidRPr="00366BF3">
        <w:rPr>
          <w:color w:val="000000" w:themeColor="text1"/>
          <w:szCs w:val="24"/>
          <w:lang w:val="en-US"/>
        </w:rPr>
        <w:t>, John Wiley &amp; Sons</w:t>
      </w:r>
      <w:r w:rsidR="00A34DEE">
        <w:rPr>
          <w:color w:val="000000" w:themeColor="text1"/>
          <w:szCs w:val="24"/>
          <w:lang w:val="en-US"/>
        </w:rPr>
        <w:t>, Ltd. Hoboken</w:t>
      </w:r>
      <w:r w:rsidRPr="00366BF3">
        <w:rPr>
          <w:color w:val="000000" w:themeColor="text1"/>
          <w:szCs w:val="24"/>
          <w:lang w:val="en-US"/>
        </w:rPr>
        <w:t>.</w:t>
      </w:r>
    </w:p>
    <w:p w:rsidR="000D3D9E" w:rsidRPr="00366BF3" w:rsidRDefault="000D3D9E" w:rsidP="000F5D8B">
      <w:pPr>
        <w:pStyle w:val="Paragraphedeliste"/>
        <w:numPr>
          <w:ilvl w:val="0"/>
          <w:numId w:val="4"/>
        </w:numPr>
        <w:spacing w:line="360" w:lineRule="auto"/>
        <w:ind w:left="284" w:hanging="284"/>
        <w:contextualSpacing w:val="0"/>
        <w:jc w:val="both"/>
        <w:rPr>
          <w:color w:val="000000" w:themeColor="text1"/>
          <w:szCs w:val="24"/>
          <w:lang w:val="en-GB"/>
        </w:rPr>
      </w:pPr>
      <w:r w:rsidRPr="00366BF3">
        <w:rPr>
          <w:color w:val="000000" w:themeColor="text1"/>
          <w:szCs w:val="24"/>
        </w:rPr>
        <w:t>Hiesse V. (2015), l’intermédiation dans les canaux de distribution : quels schémas émergents ?</w:t>
      </w:r>
      <w:r w:rsidRPr="00366BF3">
        <w:rPr>
          <w:i/>
          <w:color w:val="000000" w:themeColor="text1"/>
          <w:szCs w:val="24"/>
        </w:rPr>
        <w:t xml:space="preserve"> Logistique &amp; Management</w:t>
      </w:r>
      <w:r w:rsidRPr="00366BF3">
        <w:rPr>
          <w:color w:val="000000" w:themeColor="text1"/>
          <w:szCs w:val="24"/>
        </w:rPr>
        <w:t>, Vol 23, n°4, pp. 79- 91.</w:t>
      </w:r>
      <w:r w:rsidRPr="00366BF3">
        <w:rPr>
          <w:color w:val="000000" w:themeColor="text1"/>
          <w:szCs w:val="24"/>
          <w:lang w:val="en-GB"/>
        </w:rPr>
        <w:t xml:space="preserve"> </w:t>
      </w:r>
    </w:p>
    <w:p w:rsidR="000D3D9E" w:rsidRPr="00366BF3" w:rsidRDefault="000D3D9E" w:rsidP="000F5D8B">
      <w:pPr>
        <w:pStyle w:val="Paragraphedeliste"/>
        <w:numPr>
          <w:ilvl w:val="0"/>
          <w:numId w:val="4"/>
        </w:numPr>
        <w:spacing w:line="360" w:lineRule="auto"/>
        <w:ind w:left="284" w:hanging="284"/>
        <w:contextualSpacing w:val="0"/>
        <w:jc w:val="both"/>
        <w:rPr>
          <w:color w:val="000000" w:themeColor="text1"/>
          <w:szCs w:val="24"/>
        </w:rPr>
      </w:pPr>
      <w:r w:rsidRPr="00366BF3">
        <w:rPr>
          <w:color w:val="000000" w:themeColor="text1"/>
          <w:szCs w:val="24"/>
          <w:shd w:val="clear" w:color="auto" w:fill="FFFFFF"/>
        </w:rPr>
        <w:t xml:space="preserve">Hocquelet M., Benquet M, Durand C., Laguérodie S. (2016), Les crises de la grande distribution , </w:t>
      </w:r>
      <w:r w:rsidRPr="00366BF3">
        <w:rPr>
          <w:i/>
          <w:color w:val="000000" w:themeColor="text1"/>
          <w:szCs w:val="24"/>
          <w:shd w:val="clear" w:color="auto" w:fill="FFFFFF"/>
        </w:rPr>
        <w:t>Revue Française de Socio-Economie</w:t>
      </w:r>
      <w:r w:rsidRPr="00366BF3">
        <w:rPr>
          <w:color w:val="000000" w:themeColor="text1"/>
          <w:szCs w:val="24"/>
          <w:shd w:val="clear" w:color="auto" w:fill="FFFFFF"/>
        </w:rPr>
        <w:t>, Editions de La Découverte, n°16.</w:t>
      </w:r>
    </w:p>
    <w:p w:rsidR="000D3D9E" w:rsidRPr="00366BF3" w:rsidRDefault="000D3D9E" w:rsidP="000F5D8B">
      <w:pPr>
        <w:pStyle w:val="Paragraphedeliste"/>
        <w:numPr>
          <w:ilvl w:val="0"/>
          <w:numId w:val="4"/>
        </w:numPr>
        <w:spacing w:line="360" w:lineRule="auto"/>
        <w:ind w:left="284" w:hanging="284"/>
        <w:contextualSpacing w:val="0"/>
        <w:jc w:val="both"/>
        <w:rPr>
          <w:color w:val="000000" w:themeColor="text1"/>
          <w:szCs w:val="24"/>
        </w:rPr>
      </w:pPr>
      <w:r w:rsidRPr="00654CC7">
        <w:rPr>
          <w:color w:val="000000" w:themeColor="text1"/>
          <w:szCs w:val="24"/>
        </w:rPr>
        <w:t xml:space="preserve">Jolibert A., Jourdan Ph. (2011), </w:t>
      </w:r>
      <w:r w:rsidRPr="00654CC7">
        <w:rPr>
          <w:i/>
          <w:color w:val="000000" w:themeColor="text1"/>
          <w:szCs w:val="24"/>
        </w:rPr>
        <w:t>Marketing Research : Méthodes de recherche et d’études en marketing</w:t>
      </w:r>
      <w:r w:rsidRPr="00654CC7">
        <w:rPr>
          <w:color w:val="000000" w:themeColor="text1"/>
          <w:szCs w:val="24"/>
        </w:rPr>
        <w:t>, Dunod</w:t>
      </w:r>
      <w:r w:rsidR="00654CC7" w:rsidRPr="00654CC7">
        <w:rPr>
          <w:color w:val="000000" w:themeColor="text1"/>
          <w:szCs w:val="24"/>
        </w:rPr>
        <w:t>, Paris</w:t>
      </w:r>
      <w:r w:rsidRPr="00366BF3">
        <w:rPr>
          <w:color w:val="000000" w:themeColor="text1"/>
          <w:szCs w:val="24"/>
        </w:rPr>
        <w:t>.</w:t>
      </w:r>
    </w:p>
    <w:p w:rsidR="000D3D9E" w:rsidRPr="00366BF3" w:rsidRDefault="000D3D9E" w:rsidP="000F5D8B">
      <w:pPr>
        <w:pStyle w:val="Paragraphedeliste"/>
        <w:numPr>
          <w:ilvl w:val="0"/>
          <w:numId w:val="4"/>
        </w:numPr>
        <w:spacing w:line="360" w:lineRule="auto"/>
        <w:ind w:left="284" w:hanging="284"/>
        <w:contextualSpacing w:val="0"/>
        <w:jc w:val="both"/>
        <w:rPr>
          <w:color w:val="000000" w:themeColor="text1"/>
          <w:szCs w:val="24"/>
        </w:rPr>
      </w:pPr>
      <w:r w:rsidRPr="00366BF3">
        <w:rPr>
          <w:color w:val="000000" w:themeColor="text1"/>
          <w:szCs w:val="24"/>
        </w:rPr>
        <w:t xml:space="preserve">Jorion, P. (2010), </w:t>
      </w:r>
      <w:r w:rsidRPr="00366BF3">
        <w:rPr>
          <w:i/>
          <w:color w:val="000000" w:themeColor="text1"/>
          <w:szCs w:val="24"/>
        </w:rPr>
        <w:t>Le prix</w:t>
      </w:r>
      <w:r w:rsidRPr="00366BF3">
        <w:rPr>
          <w:color w:val="000000" w:themeColor="text1"/>
          <w:szCs w:val="24"/>
        </w:rPr>
        <w:t xml:space="preserve">, Champs </w:t>
      </w:r>
      <w:r w:rsidR="00A770AE">
        <w:rPr>
          <w:color w:val="000000" w:themeColor="text1"/>
          <w:szCs w:val="24"/>
        </w:rPr>
        <w:t>E</w:t>
      </w:r>
      <w:r w:rsidRPr="00366BF3">
        <w:rPr>
          <w:color w:val="000000" w:themeColor="text1"/>
          <w:szCs w:val="24"/>
        </w:rPr>
        <w:t xml:space="preserve">ssais, Paris. </w:t>
      </w:r>
    </w:p>
    <w:p w:rsidR="000D3D9E" w:rsidRPr="00366BF3" w:rsidRDefault="000D3D9E" w:rsidP="000F5D8B">
      <w:pPr>
        <w:pStyle w:val="Paragraphedeliste"/>
        <w:numPr>
          <w:ilvl w:val="0"/>
          <w:numId w:val="4"/>
        </w:numPr>
        <w:spacing w:line="360" w:lineRule="auto"/>
        <w:ind w:left="284" w:hanging="284"/>
        <w:contextualSpacing w:val="0"/>
        <w:jc w:val="both"/>
        <w:rPr>
          <w:color w:val="000000" w:themeColor="text1"/>
          <w:szCs w:val="24"/>
        </w:rPr>
      </w:pPr>
      <w:r w:rsidRPr="00366BF3">
        <w:rPr>
          <w:color w:val="000000" w:themeColor="text1"/>
          <w:szCs w:val="24"/>
        </w:rPr>
        <w:t xml:space="preserve">Kacioui-Maurin E., Lazzeri J., Michon V. (2016), L’innovation des Prestataires de Services Logistiques (PSL) : une analyse par les comportements stratégiques, </w:t>
      </w:r>
      <w:r w:rsidRPr="00366BF3">
        <w:rPr>
          <w:i/>
          <w:color w:val="000000" w:themeColor="text1"/>
          <w:szCs w:val="24"/>
          <w:shd w:val="clear" w:color="auto" w:fill="FFFFFF"/>
        </w:rPr>
        <w:t>Logistique &amp; Management</w:t>
      </w:r>
      <w:r w:rsidRPr="00366BF3">
        <w:rPr>
          <w:color w:val="000000" w:themeColor="text1"/>
          <w:szCs w:val="24"/>
          <w:shd w:val="clear" w:color="auto" w:fill="FFFFFF"/>
        </w:rPr>
        <w:t> , Vol 24, n°2, pp. 86-97.</w:t>
      </w:r>
    </w:p>
    <w:p w:rsidR="000D3D9E" w:rsidRPr="00366BF3" w:rsidRDefault="000D3D9E" w:rsidP="000F5D8B">
      <w:pPr>
        <w:pStyle w:val="Paragraphedeliste"/>
        <w:numPr>
          <w:ilvl w:val="0"/>
          <w:numId w:val="4"/>
        </w:numPr>
        <w:spacing w:line="360" w:lineRule="auto"/>
        <w:ind w:left="284" w:hanging="284"/>
        <w:contextualSpacing w:val="0"/>
        <w:jc w:val="both"/>
        <w:rPr>
          <w:color w:val="000000" w:themeColor="text1"/>
          <w:szCs w:val="24"/>
          <w:lang w:val="en-US"/>
        </w:rPr>
      </w:pPr>
      <w:r w:rsidRPr="00366BF3">
        <w:rPr>
          <w:bCs/>
          <w:color w:val="000000" w:themeColor="text1"/>
          <w:szCs w:val="24"/>
          <w:lang w:val="en-US"/>
        </w:rPr>
        <w:t xml:space="preserve">Lichtenstein N. (2009), </w:t>
      </w:r>
      <w:r w:rsidRPr="00366BF3">
        <w:rPr>
          <w:i/>
          <w:color w:val="000000" w:themeColor="text1"/>
          <w:szCs w:val="24"/>
          <w:lang w:val="en-US"/>
        </w:rPr>
        <w:t>The Retail Revolution: How Wal-Mart Created a Brave New World of Business</w:t>
      </w:r>
      <w:r w:rsidRPr="00366BF3">
        <w:rPr>
          <w:color w:val="000000" w:themeColor="text1"/>
          <w:szCs w:val="24"/>
          <w:lang w:val="en-US"/>
        </w:rPr>
        <w:t>, Metropolitan Books</w:t>
      </w:r>
      <w:r w:rsidR="00D55B27">
        <w:rPr>
          <w:color w:val="000000" w:themeColor="text1"/>
          <w:szCs w:val="24"/>
          <w:lang w:val="en-US"/>
        </w:rPr>
        <w:t>, New York</w:t>
      </w:r>
      <w:r w:rsidRPr="00366BF3">
        <w:rPr>
          <w:color w:val="000000" w:themeColor="text1"/>
          <w:szCs w:val="24"/>
          <w:lang w:val="en-US"/>
        </w:rPr>
        <w:t>.</w:t>
      </w:r>
    </w:p>
    <w:p w:rsidR="000D3D9E" w:rsidRPr="00366BF3" w:rsidRDefault="000D3D9E" w:rsidP="000F5D8B">
      <w:pPr>
        <w:pStyle w:val="Paragraphedeliste"/>
        <w:numPr>
          <w:ilvl w:val="0"/>
          <w:numId w:val="4"/>
        </w:numPr>
        <w:spacing w:line="360" w:lineRule="auto"/>
        <w:ind w:left="284" w:hanging="284"/>
        <w:contextualSpacing w:val="0"/>
        <w:jc w:val="both"/>
        <w:rPr>
          <w:color w:val="000000" w:themeColor="text1"/>
          <w:szCs w:val="24"/>
        </w:rPr>
      </w:pPr>
      <w:r w:rsidRPr="00366BF3">
        <w:rPr>
          <w:color w:val="000000" w:themeColor="text1"/>
          <w:szCs w:val="24"/>
        </w:rPr>
        <w:t xml:space="preserve">Lovelock C., Wirtz J., Lapert D., Munos A. (2011), </w:t>
      </w:r>
      <w:r w:rsidRPr="00366BF3">
        <w:rPr>
          <w:i/>
          <w:iCs/>
          <w:color w:val="000000" w:themeColor="text1"/>
          <w:szCs w:val="24"/>
        </w:rPr>
        <w:t>Le Marketing des Services</w:t>
      </w:r>
      <w:r w:rsidRPr="00366BF3">
        <w:rPr>
          <w:color w:val="000000" w:themeColor="text1"/>
          <w:szCs w:val="24"/>
        </w:rPr>
        <w:t xml:space="preserve">, Pearson Éditions, </w:t>
      </w:r>
      <w:r w:rsidR="00D55B27">
        <w:rPr>
          <w:color w:val="000000" w:themeColor="text1"/>
          <w:szCs w:val="24"/>
        </w:rPr>
        <w:t xml:space="preserve">Montreuil, </w:t>
      </w:r>
      <w:r w:rsidRPr="00366BF3">
        <w:rPr>
          <w:color w:val="000000" w:themeColor="text1"/>
          <w:szCs w:val="24"/>
        </w:rPr>
        <w:t>7</w:t>
      </w:r>
      <w:r w:rsidRPr="00366BF3">
        <w:rPr>
          <w:color w:val="000000" w:themeColor="text1"/>
          <w:szCs w:val="24"/>
          <w:vertAlign w:val="superscript"/>
        </w:rPr>
        <w:t>ème</w:t>
      </w:r>
      <w:r w:rsidRPr="00366BF3">
        <w:rPr>
          <w:color w:val="000000" w:themeColor="text1"/>
          <w:szCs w:val="24"/>
        </w:rPr>
        <w:t xml:space="preserve"> édition.</w:t>
      </w:r>
    </w:p>
    <w:p w:rsidR="000D3D9E" w:rsidRPr="00366BF3" w:rsidRDefault="000D3D9E" w:rsidP="000F5D8B">
      <w:pPr>
        <w:pStyle w:val="Paragraphedeliste"/>
        <w:numPr>
          <w:ilvl w:val="0"/>
          <w:numId w:val="4"/>
        </w:numPr>
        <w:spacing w:line="360" w:lineRule="auto"/>
        <w:ind w:left="284" w:hanging="284"/>
        <w:contextualSpacing w:val="0"/>
        <w:jc w:val="both"/>
        <w:rPr>
          <w:color w:val="000000" w:themeColor="text1"/>
          <w:szCs w:val="24"/>
        </w:rPr>
      </w:pPr>
      <w:r w:rsidRPr="00366BF3">
        <w:rPr>
          <w:color w:val="000000" w:themeColor="text1"/>
          <w:szCs w:val="24"/>
        </w:rPr>
        <w:t xml:space="preserve">Mevel O. (2011), Relations Industrie-Commerce et concurrence imparfaite en France : Le cas du management d’une grande surface alimentaire sous la Loi Châtel , </w:t>
      </w:r>
      <w:r w:rsidRPr="00366BF3">
        <w:rPr>
          <w:i/>
          <w:color w:val="000000" w:themeColor="text1"/>
          <w:szCs w:val="24"/>
        </w:rPr>
        <w:t>Management International</w:t>
      </w:r>
      <w:r w:rsidRPr="00366BF3">
        <w:rPr>
          <w:color w:val="000000" w:themeColor="text1"/>
          <w:szCs w:val="24"/>
        </w:rPr>
        <w:t>, Vol 15, n°2, pp. 35-50.</w:t>
      </w:r>
    </w:p>
    <w:p w:rsidR="000D3D9E" w:rsidRDefault="000D3D9E" w:rsidP="000F5D8B">
      <w:pPr>
        <w:pStyle w:val="Paragraphedeliste"/>
        <w:numPr>
          <w:ilvl w:val="0"/>
          <w:numId w:val="4"/>
        </w:numPr>
        <w:spacing w:after="120" w:line="360" w:lineRule="auto"/>
        <w:ind w:left="284" w:hanging="284"/>
        <w:contextualSpacing w:val="0"/>
        <w:jc w:val="both"/>
        <w:rPr>
          <w:color w:val="000000" w:themeColor="text1"/>
          <w:szCs w:val="24"/>
        </w:rPr>
      </w:pPr>
      <w:r w:rsidRPr="00366BF3">
        <w:rPr>
          <w:color w:val="000000" w:themeColor="text1"/>
          <w:szCs w:val="24"/>
        </w:rPr>
        <w:t xml:space="preserve">Mevel O. (2010), Relations Production/Distribution : le cas du partage de la valeur ajoutée dans la filière laitière française, </w:t>
      </w:r>
      <w:r w:rsidRPr="00366BF3">
        <w:rPr>
          <w:i/>
          <w:color w:val="000000" w:themeColor="text1"/>
          <w:szCs w:val="24"/>
        </w:rPr>
        <w:t>Revue Gérer et Comprendre</w:t>
      </w:r>
      <w:r w:rsidRPr="00366BF3">
        <w:rPr>
          <w:color w:val="000000" w:themeColor="text1"/>
          <w:szCs w:val="24"/>
        </w:rPr>
        <w:t xml:space="preserve">, n°101, pp. 38-49. </w:t>
      </w:r>
    </w:p>
    <w:p w:rsidR="005E2B8D" w:rsidRPr="00C36CB9" w:rsidRDefault="005E2B8D" w:rsidP="005E2B8D">
      <w:pPr>
        <w:pStyle w:val="Paragraphedeliste"/>
        <w:numPr>
          <w:ilvl w:val="0"/>
          <w:numId w:val="4"/>
        </w:numPr>
        <w:spacing w:after="120" w:line="360" w:lineRule="auto"/>
        <w:ind w:left="284" w:hanging="284"/>
        <w:contextualSpacing w:val="0"/>
        <w:jc w:val="both"/>
        <w:rPr>
          <w:szCs w:val="24"/>
        </w:rPr>
      </w:pPr>
      <w:r>
        <w:rPr>
          <w:szCs w:val="24"/>
        </w:rPr>
        <w:t>Mevel O.; Morvan Th. (2010),</w:t>
      </w:r>
      <w:r w:rsidRPr="00C36CB9">
        <w:rPr>
          <w:bCs/>
          <w:szCs w:val="24"/>
        </w:rPr>
        <w:t xml:space="preserve"> Prestation logistique en produits frais et mesure de la valeur ajoutée client : le cas des indust</w:t>
      </w:r>
      <w:r>
        <w:rPr>
          <w:bCs/>
          <w:szCs w:val="24"/>
        </w:rPr>
        <w:t>ries agroalimentaires bretonnes</w:t>
      </w:r>
      <w:r w:rsidRPr="00C36CB9">
        <w:rPr>
          <w:bCs/>
          <w:szCs w:val="24"/>
        </w:rPr>
        <w:t xml:space="preserve">, </w:t>
      </w:r>
      <w:r w:rsidRPr="00C36CB9">
        <w:rPr>
          <w:bCs/>
          <w:i/>
          <w:szCs w:val="24"/>
        </w:rPr>
        <w:t>Revue Française de Gestion Industrielle,</w:t>
      </w:r>
      <w:r>
        <w:rPr>
          <w:bCs/>
          <w:szCs w:val="24"/>
        </w:rPr>
        <w:t xml:space="preserve"> Vol </w:t>
      </w:r>
      <w:r w:rsidRPr="00C36CB9">
        <w:rPr>
          <w:bCs/>
          <w:szCs w:val="24"/>
        </w:rPr>
        <w:t xml:space="preserve">29, </w:t>
      </w:r>
      <w:r>
        <w:rPr>
          <w:bCs/>
          <w:szCs w:val="24"/>
        </w:rPr>
        <w:t>n</w:t>
      </w:r>
      <w:r w:rsidRPr="00C36CB9">
        <w:rPr>
          <w:bCs/>
          <w:szCs w:val="24"/>
        </w:rPr>
        <w:t>°3, p</w:t>
      </w:r>
      <w:r>
        <w:rPr>
          <w:bCs/>
          <w:szCs w:val="24"/>
        </w:rPr>
        <w:t>p</w:t>
      </w:r>
      <w:r w:rsidRPr="00C36CB9">
        <w:rPr>
          <w:bCs/>
          <w:szCs w:val="24"/>
        </w:rPr>
        <w:t>. 47-74.</w:t>
      </w:r>
    </w:p>
    <w:p w:rsidR="005E2B8D" w:rsidRPr="00C36CB9" w:rsidRDefault="005E2B8D" w:rsidP="005E2B8D">
      <w:pPr>
        <w:pStyle w:val="Paragraphedeliste"/>
        <w:numPr>
          <w:ilvl w:val="0"/>
          <w:numId w:val="4"/>
        </w:numPr>
        <w:spacing w:line="360" w:lineRule="auto"/>
        <w:ind w:left="284" w:hanging="284"/>
        <w:contextualSpacing w:val="0"/>
        <w:jc w:val="both"/>
        <w:rPr>
          <w:szCs w:val="24"/>
        </w:rPr>
      </w:pPr>
      <w:r w:rsidRPr="00C36CB9">
        <w:rPr>
          <w:szCs w:val="24"/>
        </w:rPr>
        <w:t xml:space="preserve">Mevel, O., </w:t>
      </w:r>
      <w:r>
        <w:rPr>
          <w:szCs w:val="24"/>
        </w:rPr>
        <w:t xml:space="preserve">Morvan, Th., Morvan N., (2014), </w:t>
      </w:r>
      <w:r w:rsidRPr="00C36CB9">
        <w:rPr>
          <w:szCs w:val="24"/>
        </w:rPr>
        <w:t>L’émergence des PSL est-elle constitutive de la formation d’un mur logistique au cœur même des relations Industrie-Commerce en France ? le cas des filières alimentaires fraîches</w:t>
      </w:r>
      <w:r>
        <w:rPr>
          <w:szCs w:val="24"/>
        </w:rPr>
        <w:t xml:space="preserve"> et ultra-fraîches en Bretagne</w:t>
      </w:r>
      <w:r w:rsidRPr="00C36CB9">
        <w:rPr>
          <w:szCs w:val="24"/>
        </w:rPr>
        <w:t xml:space="preserve">, </w:t>
      </w:r>
      <w:r w:rsidRPr="00C36CB9">
        <w:rPr>
          <w:i/>
          <w:szCs w:val="24"/>
        </w:rPr>
        <w:t>Management International</w:t>
      </w:r>
      <w:r>
        <w:rPr>
          <w:szCs w:val="24"/>
        </w:rPr>
        <w:t xml:space="preserve">, Vol </w:t>
      </w:r>
      <w:r w:rsidRPr="00C36CB9">
        <w:rPr>
          <w:szCs w:val="24"/>
        </w:rPr>
        <w:t xml:space="preserve">18, </w:t>
      </w:r>
      <w:r>
        <w:rPr>
          <w:szCs w:val="24"/>
        </w:rPr>
        <w:t>n</w:t>
      </w:r>
      <w:r w:rsidRPr="00C36CB9">
        <w:rPr>
          <w:szCs w:val="24"/>
        </w:rPr>
        <w:t>°2, p</w:t>
      </w:r>
      <w:r>
        <w:rPr>
          <w:szCs w:val="24"/>
        </w:rPr>
        <w:t>p</w:t>
      </w:r>
      <w:r w:rsidRPr="00C36CB9">
        <w:rPr>
          <w:szCs w:val="24"/>
        </w:rPr>
        <w:t>. 106-123.</w:t>
      </w:r>
    </w:p>
    <w:p w:rsidR="005E2B8D" w:rsidRPr="007D75A5" w:rsidRDefault="00956D9C" w:rsidP="007D75A5">
      <w:pPr>
        <w:pStyle w:val="Paragraphedeliste"/>
        <w:numPr>
          <w:ilvl w:val="0"/>
          <w:numId w:val="4"/>
        </w:numPr>
        <w:spacing w:line="360" w:lineRule="auto"/>
        <w:ind w:left="284" w:hanging="284"/>
        <w:contextualSpacing w:val="0"/>
        <w:jc w:val="both"/>
        <w:rPr>
          <w:szCs w:val="24"/>
        </w:rPr>
      </w:pPr>
      <w:r w:rsidRPr="00C36CB9">
        <w:rPr>
          <w:szCs w:val="24"/>
        </w:rPr>
        <w:lastRenderedPageBreak/>
        <w:t>Mevel O.</w:t>
      </w:r>
      <w:r w:rsidRPr="00C36CB9">
        <w:rPr>
          <w:i/>
          <w:szCs w:val="24"/>
        </w:rPr>
        <w:t xml:space="preserve">, </w:t>
      </w:r>
      <w:r w:rsidRPr="00C36CB9">
        <w:rPr>
          <w:szCs w:val="24"/>
        </w:rPr>
        <w:t>Morvan Th., Morvan N. (201</w:t>
      </w:r>
      <w:r>
        <w:rPr>
          <w:szCs w:val="24"/>
        </w:rPr>
        <w:t>7</w:t>
      </w:r>
      <w:r w:rsidRPr="00C36CB9">
        <w:rPr>
          <w:szCs w:val="24"/>
        </w:rPr>
        <w:t>)</w:t>
      </w:r>
      <w:r>
        <w:rPr>
          <w:szCs w:val="24"/>
        </w:rPr>
        <w:t xml:space="preserve">, </w:t>
      </w:r>
      <w:r w:rsidRPr="004B1280">
        <w:rPr>
          <w:i/>
        </w:rPr>
        <w:t>Stratégie des PSL et services aux IAA : le bilan de 8 ans de crise (2008-2016)</w:t>
      </w:r>
      <w:r w:rsidRPr="00170EE0">
        <w:rPr>
          <w:shd w:val="clear" w:color="auto" w:fill="FFFFFF"/>
        </w:rPr>
        <w:t>, 3</w:t>
      </w:r>
      <w:r w:rsidRPr="00170EE0">
        <w:rPr>
          <w:shd w:val="clear" w:color="auto" w:fill="FFFFFF"/>
          <w:vertAlign w:val="superscript"/>
        </w:rPr>
        <w:t>ème</w:t>
      </w:r>
      <w:r w:rsidRPr="00170EE0">
        <w:rPr>
          <w:shd w:val="clear" w:color="auto" w:fill="FFFFFF"/>
        </w:rPr>
        <w:t xml:space="preserve"> colloque international PROLOG (Projets &amp; logistique), La Rochelle, 11 et 12 mai 2017</w:t>
      </w:r>
      <w:r>
        <w:rPr>
          <w:shd w:val="clear" w:color="auto" w:fill="FFFFFF"/>
        </w:rPr>
        <w:t>.</w:t>
      </w:r>
    </w:p>
    <w:p w:rsidR="000D3D9E" w:rsidRPr="00366BF3" w:rsidRDefault="000D3D9E" w:rsidP="000F5D8B">
      <w:pPr>
        <w:pStyle w:val="Paragraphedeliste"/>
        <w:numPr>
          <w:ilvl w:val="0"/>
          <w:numId w:val="4"/>
        </w:numPr>
        <w:spacing w:line="360" w:lineRule="auto"/>
        <w:ind w:left="284" w:hanging="284"/>
        <w:contextualSpacing w:val="0"/>
        <w:jc w:val="both"/>
        <w:rPr>
          <w:color w:val="000000" w:themeColor="text1"/>
          <w:szCs w:val="24"/>
        </w:rPr>
      </w:pPr>
      <w:r w:rsidRPr="00366BF3">
        <w:rPr>
          <w:color w:val="000000" w:themeColor="text1"/>
          <w:szCs w:val="24"/>
          <w:shd w:val="clear" w:color="auto" w:fill="FFFFFF"/>
        </w:rPr>
        <w:t xml:space="preserve">Moati P., (2016), Vers la fin de la grande distribution », </w:t>
      </w:r>
      <w:r w:rsidRPr="00366BF3">
        <w:rPr>
          <w:i/>
          <w:color w:val="000000" w:themeColor="text1"/>
          <w:szCs w:val="24"/>
          <w:shd w:val="clear" w:color="auto" w:fill="FFFFFF"/>
        </w:rPr>
        <w:t>Revue Française de Socio-Economie</w:t>
      </w:r>
      <w:r w:rsidRPr="00366BF3">
        <w:rPr>
          <w:color w:val="000000" w:themeColor="text1"/>
          <w:szCs w:val="24"/>
          <w:shd w:val="clear" w:color="auto" w:fill="FFFFFF"/>
        </w:rPr>
        <w:t>, Vol 1, n°16, pp. 99 - 118.</w:t>
      </w:r>
    </w:p>
    <w:p w:rsidR="000D3D9E" w:rsidRPr="00366BF3" w:rsidRDefault="000D3D9E" w:rsidP="000F5D8B">
      <w:pPr>
        <w:pStyle w:val="Paragraphedeliste"/>
        <w:numPr>
          <w:ilvl w:val="0"/>
          <w:numId w:val="4"/>
        </w:numPr>
        <w:spacing w:line="360" w:lineRule="auto"/>
        <w:ind w:left="284" w:hanging="284"/>
        <w:contextualSpacing w:val="0"/>
        <w:jc w:val="both"/>
        <w:rPr>
          <w:color w:val="000000" w:themeColor="text1"/>
          <w:szCs w:val="24"/>
        </w:rPr>
      </w:pPr>
      <w:r w:rsidRPr="00366BF3">
        <w:rPr>
          <w:color w:val="000000" w:themeColor="text1"/>
          <w:szCs w:val="24"/>
        </w:rPr>
        <w:t xml:space="preserve">Montebello, M., (2003), </w:t>
      </w:r>
      <w:r w:rsidRPr="00366BF3">
        <w:rPr>
          <w:i/>
          <w:color w:val="000000" w:themeColor="text1"/>
          <w:szCs w:val="24"/>
        </w:rPr>
        <w:t>Stratégie de création de valeur pour le client</w:t>
      </w:r>
      <w:r w:rsidRPr="00366BF3">
        <w:rPr>
          <w:color w:val="000000" w:themeColor="text1"/>
          <w:szCs w:val="24"/>
        </w:rPr>
        <w:t>, Economica</w:t>
      </w:r>
      <w:r w:rsidR="00F96B17">
        <w:rPr>
          <w:color w:val="000000" w:themeColor="text1"/>
          <w:szCs w:val="24"/>
        </w:rPr>
        <w:t>, Paris</w:t>
      </w:r>
      <w:r w:rsidRPr="00366BF3">
        <w:rPr>
          <w:color w:val="000000" w:themeColor="text1"/>
          <w:szCs w:val="24"/>
        </w:rPr>
        <w:t>.</w:t>
      </w:r>
    </w:p>
    <w:p w:rsidR="000D3D9E" w:rsidRPr="00366BF3" w:rsidRDefault="000D3D9E" w:rsidP="000F5D8B">
      <w:pPr>
        <w:pStyle w:val="Paragraphedeliste"/>
        <w:numPr>
          <w:ilvl w:val="0"/>
          <w:numId w:val="4"/>
        </w:numPr>
        <w:spacing w:line="360" w:lineRule="auto"/>
        <w:ind w:left="284" w:hanging="284"/>
        <w:contextualSpacing w:val="0"/>
        <w:jc w:val="both"/>
        <w:rPr>
          <w:color w:val="000000" w:themeColor="text1"/>
          <w:szCs w:val="24"/>
        </w:rPr>
      </w:pPr>
      <w:r w:rsidRPr="00366BF3">
        <w:rPr>
          <w:color w:val="000000" w:themeColor="text1"/>
          <w:szCs w:val="24"/>
        </w:rPr>
        <w:t xml:space="preserve">Roques Th., Michrafy M. (2003), "La prestation de service logistique en France en 2002 : perception des acteurs et évolution des pratiques", </w:t>
      </w:r>
      <w:r w:rsidRPr="00366BF3">
        <w:rPr>
          <w:i/>
          <w:color w:val="000000" w:themeColor="text1"/>
          <w:szCs w:val="24"/>
        </w:rPr>
        <w:t>Logistique et Management</w:t>
      </w:r>
      <w:r w:rsidRPr="00366BF3">
        <w:rPr>
          <w:color w:val="000000" w:themeColor="text1"/>
          <w:szCs w:val="24"/>
        </w:rPr>
        <w:t>, Vol 11, n°2, pp. 7-25.</w:t>
      </w:r>
    </w:p>
    <w:p w:rsidR="000D3D9E" w:rsidRPr="00366BF3" w:rsidRDefault="000D3D9E" w:rsidP="000F5D8B">
      <w:pPr>
        <w:pStyle w:val="Paragraphedeliste"/>
        <w:numPr>
          <w:ilvl w:val="0"/>
          <w:numId w:val="4"/>
        </w:numPr>
        <w:spacing w:line="360" w:lineRule="auto"/>
        <w:ind w:left="284" w:hanging="284"/>
        <w:contextualSpacing w:val="0"/>
        <w:jc w:val="both"/>
        <w:rPr>
          <w:color w:val="000000" w:themeColor="text1"/>
          <w:szCs w:val="24"/>
          <w:lang w:val="en-US"/>
        </w:rPr>
      </w:pPr>
      <w:r w:rsidRPr="00366BF3">
        <w:rPr>
          <w:color w:val="000000" w:themeColor="text1"/>
          <w:szCs w:val="24"/>
          <w:lang w:val="en-US"/>
        </w:rPr>
        <w:t xml:space="preserve">Sadia Samar Ali S.S, Kaur R., (2018) "An analysis of satisfaction level of 3PL service users with the help of ACSI", </w:t>
      </w:r>
      <w:r w:rsidRPr="00366BF3">
        <w:rPr>
          <w:i/>
          <w:color w:val="000000" w:themeColor="text1"/>
          <w:szCs w:val="24"/>
          <w:lang w:val="en-US"/>
        </w:rPr>
        <w:t>Benchmarking: An International Journal</w:t>
      </w:r>
      <w:r w:rsidRPr="00366BF3">
        <w:rPr>
          <w:color w:val="000000" w:themeColor="text1"/>
          <w:szCs w:val="24"/>
          <w:lang w:val="en-US"/>
        </w:rPr>
        <w:t>, Vol. 25 Issue: 1, pp. 24-46.</w:t>
      </w:r>
    </w:p>
    <w:p w:rsidR="000D3D9E" w:rsidRPr="00366BF3" w:rsidRDefault="000D3D9E" w:rsidP="000F5D8B">
      <w:pPr>
        <w:pStyle w:val="Paragraphedeliste"/>
        <w:numPr>
          <w:ilvl w:val="0"/>
          <w:numId w:val="4"/>
        </w:numPr>
        <w:spacing w:line="360" w:lineRule="auto"/>
        <w:ind w:left="284" w:hanging="284"/>
        <w:contextualSpacing w:val="0"/>
        <w:jc w:val="both"/>
        <w:rPr>
          <w:color w:val="000000" w:themeColor="text1"/>
          <w:szCs w:val="24"/>
        </w:rPr>
      </w:pPr>
      <w:r w:rsidRPr="00366BF3">
        <w:rPr>
          <w:color w:val="000000" w:themeColor="text1"/>
          <w:szCs w:val="24"/>
        </w:rPr>
        <w:t xml:space="preserve">Saglietto L. (2009), Conséquences des interactions dynamiques entre les entreprises et leurs 4 PL sur l’évolution des réseaux de distribution, </w:t>
      </w:r>
      <w:r w:rsidRPr="00366BF3">
        <w:rPr>
          <w:i/>
          <w:color w:val="000000" w:themeColor="text1"/>
          <w:szCs w:val="24"/>
        </w:rPr>
        <w:t>Logistique &amp; Management</w:t>
      </w:r>
      <w:r w:rsidRPr="00366BF3">
        <w:rPr>
          <w:color w:val="000000" w:themeColor="text1"/>
          <w:szCs w:val="24"/>
        </w:rPr>
        <w:t>, Vol 17, n°2, pp. 17-28.</w:t>
      </w:r>
    </w:p>
    <w:p w:rsidR="000D3D9E" w:rsidRPr="00366BF3" w:rsidRDefault="000D3D9E" w:rsidP="000F5D8B">
      <w:pPr>
        <w:pStyle w:val="Paragraphedeliste"/>
        <w:numPr>
          <w:ilvl w:val="0"/>
          <w:numId w:val="4"/>
        </w:numPr>
        <w:spacing w:line="360" w:lineRule="auto"/>
        <w:ind w:left="284" w:hanging="284"/>
        <w:contextualSpacing w:val="0"/>
        <w:jc w:val="both"/>
        <w:rPr>
          <w:color w:val="000000" w:themeColor="text1"/>
          <w:szCs w:val="24"/>
        </w:rPr>
      </w:pPr>
      <w:r w:rsidRPr="00366BF3">
        <w:rPr>
          <w:color w:val="000000" w:themeColor="text1"/>
          <w:szCs w:val="24"/>
        </w:rPr>
        <w:t xml:space="preserve">Senkel, M-P, Durand, B., Vo Hoa, T. (2013), La mutualisation logistique : entre théories et pratiques, </w:t>
      </w:r>
      <w:r w:rsidRPr="00366BF3">
        <w:rPr>
          <w:i/>
          <w:color w:val="000000" w:themeColor="text1"/>
          <w:szCs w:val="24"/>
        </w:rPr>
        <w:t>Logistique &amp; Management</w:t>
      </w:r>
      <w:r w:rsidRPr="00366BF3">
        <w:rPr>
          <w:color w:val="000000" w:themeColor="text1"/>
          <w:szCs w:val="24"/>
        </w:rPr>
        <w:t>, Vol 1, n°1, pp. 19-30.</w:t>
      </w:r>
    </w:p>
    <w:p w:rsidR="000D3D9E" w:rsidRPr="00366BF3" w:rsidRDefault="000D3D9E" w:rsidP="000F5D8B">
      <w:pPr>
        <w:pStyle w:val="Paragraphedeliste"/>
        <w:numPr>
          <w:ilvl w:val="0"/>
          <w:numId w:val="4"/>
        </w:numPr>
        <w:spacing w:line="360" w:lineRule="auto"/>
        <w:ind w:left="284" w:hanging="284"/>
        <w:contextualSpacing w:val="0"/>
        <w:jc w:val="both"/>
        <w:rPr>
          <w:color w:val="000000" w:themeColor="text1"/>
          <w:szCs w:val="24"/>
          <w:lang w:val="en-US"/>
        </w:rPr>
      </w:pPr>
      <w:r w:rsidRPr="00366BF3">
        <w:rPr>
          <w:color w:val="000000" w:themeColor="text1"/>
          <w:szCs w:val="24"/>
          <w:lang w:val="en-US"/>
        </w:rPr>
        <w:t xml:space="preserve">Wagner, S.M., Sutter, R., (2012), A qualitative investigation of innovation between third-party logistics providers and customers, </w:t>
      </w:r>
      <w:r w:rsidRPr="00366BF3">
        <w:rPr>
          <w:i/>
          <w:color w:val="000000" w:themeColor="text1"/>
          <w:szCs w:val="24"/>
          <w:lang w:val="en-US"/>
        </w:rPr>
        <w:t>Int. J. Production Economics</w:t>
      </w:r>
      <w:r w:rsidRPr="00366BF3">
        <w:rPr>
          <w:color w:val="000000" w:themeColor="text1"/>
          <w:szCs w:val="24"/>
          <w:lang w:val="en-US"/>
        </w:rPr>
        <w:t>, Vol 140, pp. 944-958.</w:t>
      </w:r>
    </w:p>
    <w:p w:rsidR="000D3D9E" w:rsidRPr="00366BF3" w:rsidRDefault="000D3D9E" w:rsidP="000F5D8B">
      <w:pPr>
        <w:pStyle w:val="Paragraphedeliste"/>
        <w:numPr>
          <w:ilvl w:val="0"/>
          <w:numId w:val="4"/>
        </w:numPr>
        <w:spacing w:line="360" w:lineRule="auto"/>
        <w:ind w:left="284" w:hanging="284"/>
        <w:contextualSpacing w:val="0"/>
        <w:jc w:val="both"/>
        <w:rPr>
          <w:color w:val="000000" w:themeColor="text1"/>
          <w:szCs w:val="24"/>
          <w:lang w:val="en-US"/>
        </w:rPr>
      </w:pPr>
      <w:r w:rsidRPr="00366BF3">
        <w:rPr>
          <w:color w:val="000000" w:themeColor="text1"/>
          <w:szCs w:val="24"/>
          <w:lang w:val="en-US"/>
        </w:rPr>
        <w:t xml:space="preserve">Wallenburg C. M., Lukassen, P., (2011), Proactive Improvement of Logistics Services providers as driver of customer Loyalty, </w:t>
      </w:r>
      <w:r w:rsidRPr="00366BF3">
        <w:rPr>
          <w:i/>
          <w:color w:val="000000" w:themeColor="text1"/>
          <w:szCs w:val="24"/>
          <w:lang w:val="en-US"/>
        </w:rPr>
        <w:t>European Journal of Marketing</w:t>
      </w:r>
      <w:r w:rsidRPr="00366BF3">
        <w:rPr>
          <w:color w:val="000000" w:themeColor="text1"/>
          <w:szCs w:val="24"/>
          <w:lang w:val="en-US"/>
        </w:rPr>
        <w:t>,Vol 45, n°3, pp. 438-454.</w:t>
      </w:r>
    </w:p>
    <w:p w:rsidR="00A0516F" w:rsidRPr="00366BF3" w:rsidRDefault="00A0516F" w:rsidP="000F5D8B">
      <w:pPr>
        <w:spacing w:after="160" w:line="360" w:lineRule="auto"/>
        <w:rPr>
          <w:color w:val="000000" w:themeColor="text1"/>
          <w:szCs w:val="24"/>
          <w:lang w:val="en-US"/>
        </w:rPr>
      </w:pPr>
      <w:r w:rsidRPr="00366BF3">
        <w:rPr>
          <w:color w:val="000000" w:themeColor="text1"/>
          <w:szCs w:val="24"/>
          <w:lang w:val="en-US"/>
        </w:rPr>
        <w:br w:type="page"/>
      </w:r>
    </w:p>
    <w:p w:rsidR="00033BEB" w:rsidRPr="00366BF3" w:rsidRDefault="00033BEB" w:rsidP="000F5D8B">
      <w:pPr>
        <w:spacing w:line="360" w:lineRule="auto"/>
        <w:jc w:val="center"/>
        <w:rPr>
          <w:color w:val="000000" w:themeColor="text1"/>
        </w:rPr>
      </w:pPr>
      <w:r w:rsidRPr="00366BF3">
        <w:rPr>
          <w:b/>
          <w:color w:val="000000" w:themeColor="text1"/>
        </w:rPr>
        <w:lastRenderedPageBreak/>
        <w:t>Annexe n°1 :</w:t>
      </w:r>
      <w:r w:rsidR="002727BB">
        <w:rPr>
          <w:b/>
          <w:color w:val="000000" w:themeColor="text1"/>
        </w:rPr>
        <w:t xml:space="preserve"> </w:t>
      </w:r>
      <w:r w:rsidRPr="00366BF3">
        <w:rPr>
          <w:b/>
          <w:color w:val="000000" w:themeColor="text1"/>
          <w:szCs w:val="24"/>
        </w:rPr>
        <w:t>Discrimination logistique des industriels par les PSL en fonction de leur situation dans la relation Industrie-Commerce</w:t>
      </w:r>
    </w:p>
    <w:tbl>
      <w:tblPr>
        <w:tblW w:w="7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1842"/>
        <w:gridCol w:w="1843"/>
        <w:gridCol w:w="1843"/>
      </w:tblGrid>
      <w:tr w:rsidR="002727BB" w:rsidRPr="008C6CEA" w:rsidTr="007E1D5A">
        <w:trPr>
          <w:jc w:val="center"/>
        </w:trPr>
        <w:tc>
          <w:tcPr>
            <w:tcW w:w="2099" w:type="dxa"/>
          </w:tcPr>
          <w:p w:rsidR="002727BB" w:rsidRPr="008C6CEA" w:rsidRDefault="002727BB" w:rsidP="007E1D5A">
            <w:pPr>
              <w:jc w:val="center"/>
              <w:rPr>
                <w:b/>
                <w:color w:val="000000" w:themeColor="text1"/>
                <w:sz w:val="20"/>
              </w:rPr>
            </w:pPr>
            <w:r w:rsidRPr="008C6CEA">
              <w:rPr>
                <w:b/>
                <w:color w:val="000000" w:themeColor="text1"/>
                <w:sz w:val="20"/>
              </w:rPr>
              <w:t>Typologie des industriels des IAA</w:t>
            </w:r>
          </w:p>
        </w:tc>
        <w:tc>
          <w:tcPr>
            <w:tcW w:w="1842" w:type="dxa"/>
          </w:tcPr>
          <w:p w:rsidR="002727BB" w:rsidRPr="008C6CEA" w:rsidRDefault="002727BB" w:rsidP="007E1D5A">
            <w:pPr>
              <w:jc w:val="center"/>
              <w:rPr>
                <w:b/>
                <w:color w:val="000000" w:themeColor="text1"/>
                <w:sz w:val="20"/>
              </w:rPr>
            </w:pPr>
            <w:r w:rsidRPr="008C6CEA">
              <w:rPr>
                <w:b/>
                <w:color w:val="000000" w:themeColor="text1"/>
                <w:sz w:val="20"/>
              </w:rPr>
              <w:t>Situation dans la relation Industrie-Commerce</w:t>
            </w:r>
          </w:p>
        </w:tc>
        <w:tc>
          <w:tcPr>
            <w:tcW w:w="1843" w:type="dxa"/>
            <w:vAlign w:val="center"/>
          </w:tcPr>
          <w:p w:rsidR="002727BB" w:rsidRPr="008C6CEA" w:rsidRDefault="002727BB" w:rsidP="007E1D5A">
            <w:pPr>
              <w:jc w:val="center"/>
              <w:rPr>
                <w:b/>
                <w:color w:val="000000" w:themeColor="text1"/>
                <w:sz w:val="20"/>
              </w:rPr>
            </w:pPr>
            <w:r w:rsidRPr="008C6CEA">
              <w:rPr>
                <w:b/>
                <w:color w:val="000000" w:themeColor="text1"/>
                <w:sz w:val="20"/>
              </w:rPr>
              <w:t>Schéma logistique</w:t>
            </w:r>
          </w:p>
        </w:tc>
        <w:tc>
          <w:tcPr>
            <w:tcW w:w="1843" w:type="dxa"/>
          </w:tcPr>
          <w:p w:rsidR="002727BB" w:rsidRPr="008C6CEA" w:rsidRDefault="002727BB" w:rsidP="007E1D5A">
            <w:pPr>
              <w:jc w:val="center"/>
              <w:rPr>
                <w:b/>
                <w:color w:val="000000" w:themeColor="text1"/>
                <w:sz w:val="20"/>
              </w:rPr>
            </w:pPr>
            <w:r w:rsidRPr="008C6CEA">
              <w:rPr>
                <w:b/>
                <w:color w:val="000000" w:themeColor="text1"/>
                <w:sz w:val="20"/>
              </w:rPr>
              <w:t>Nature des  PSL intervenant à la relation</w:t>
            </w:r>
          </w:p>
        </w:tc>
      </w:tr>
      <w:tr w:rsidR="002727BB" w:rsidRPr="008C6CEA" w:rsidTr="007E1D5A">
        <w:trPr>
          <w:jc w:val="center"/>
        </w:trPr>
        <w:tc>
          <w:tcPr>
            <w:tcW w:w="2099" w:type="dxa"/>
            <w:vAlign w:val="center"/>
          </w:tcPr>
          <w:p w:rsidR="002727BB" w:rsidRPr="008C6CEA" w:rsidRDefault="002727BB" w:rsidP="007E1D5A">
            <w:pPr>
              <w:rPr>
                <w:color w:val="000000" w:themeColor="text1"/>
                <w:sz w:val="20"/>
              </w:rPr>
            </w:pPr>
            <w:r w:rsidRPr="008C6CEA">
              <w:rPr>
                <w:color w:val="000000" w:themeColor="text1"/>
                <w:sz w:val="20"/>
              </w:rPr>
              <w:t>PME/PMI</w:t>
            </w:r>
          </w:p>
        </w:tc>
        <w:tc>
          <w:tcPr>
            <w:tcW w:w="1842" w:type="dxa"/>
          </w:tcPr>
          <w:p w:rsidR="002727BB" w:rsidRPr="008C6CEA" w:rsidRDefault="002727BB" w:rsidP="007E1D5A">
            <w:pPr>
              <w:rPr>
                <w:color w:val="000000" w:themeColor="text1"/>
                <w:sz w:val="20"/>
              </w:rPr>
            </w:pPr>
            <w:r w:rsidRPr="008C6CEA">
              <w:rPr>
                <w:color w:val="000000" w:themeColor="text1"/>
                <w:sz w:val="20"/>
              </w:rPr>
              <w:t>Référencée</w:t>
            </w:r>
          </w:p>
          <w:p w:rsidR="002727BB" w:rsidRPr="008C6CEA" w:rsidRDefault="002727BB" w:rsidP="007E1D5A">
            <w:pPr>
              <w:rPr>
                <w:color w:val="000000" w:themeColor="text1"/>
                <w:sz w:val="20"/>
              </w:rPr>
            </w:pPr>
            <w:r w:rsidRPr="008C6CEA">
              <w:rPr>
                <w:color w:val="000000" w:themeColor="text1"/>
                <w:sz w:val="20"/>
              </w:rPr>
              <w:t>Non référencée</w:t>
            </w:r>
          </w:p>
        </w:tc>
        <w:tc>
          <w:tcPr>
            <w:tcW w:w="1843" w:type="dxa"/>
          </w:tcPr>
          <w:p w:rsidR="002727BB" w:rsidRPr="008C6CEA" w:rsidRDefault="002727BB" w:rsidP="007E1D5A">
            <w:pPr>
              <w:rPr>
                <w:color w:val="000000" w:themeColor="text1"/>
                <w:sz w:val="20"/>
              </w:rPr>
            </w:pPr>
            <w:r w:rsidRPr="008C6CEA">
              <w:rPr>
                <w:color w:val="000000" w:themeColor="text1"/>
                <w:sz w:val="20"/>
              </w:rPr>
              <w:t>100% plateforme</w:t>
            </w:r>
          </w:p>
          <w:p w:rsidR="002727BB" w:rsidRPr="008C6CEA" w:rsidRDefault="002727BB" w:rsidP="007E1D5A">
            <w:pPr>
              <w:rPr>
                <w:color w:val="000000" w:themeColor="text1"/>
                <w:sz w:val="20"/>
              </w:rPr>
            </w:pPr>
            <w:r w:rsidRPr="008C6CEA">
              <w:rPr>
                <w:color w:val="000000" w:themeColor="text1"/>
                <w:sz w:val="20"/>
              </w:rPr>
              <w:t>100% magasin</w:t>
            </w:r>
          </w:p>
        </w:tc>
        <w:tc>
          <w:tcPr>
            <w:tcW w:w="1843" w:type="dxa"/>
          </w:tcPr>
          <w:p w:rsidR="002727BB" w:rsidRPr="008C6CEA" w:rsidRDefault="002727BB" w:rsidP="007E1D5A">
            <w:pPr>
              <w:rPr>
                <w:color w:val="000000" w:themeColor="text1"/>
                <w:sz w:val="20"/>
              </w:rPr>
            </w:pPr>
            <w:r w:rsidRPr="008C6CEA">
              <w:rPr>
                <w:color w:val="000000" w:themeColor="text1"/>
                <w:sz w:val="20"/>
              </w:rPr>
              <w:t>Régionaux</w:t>
            </w:r>
          </w:p>
          <w:p w:rsidR="002727BB" w:rsidRPr="008C6CEA" w:rsidRDefault="002727BB" w:rsidP="007E1D5A">
            <w:pPr>
              <w:rPr>
                <w:color w:val="000000" w:themeColor="text1"/>
                <w:sz w:val="20"/>
              </w:rPr>
            </w:pPr>
            <w:r w:rsidRPr="008C6CEA">
              <w:rPr>
                <w:color w:val="000000" w:themeColor="text1"/>
                <w:sz w:val="20"/>
              </w:rPr>
              <w:t>4PL</w:t>
            </w:r>
          </w:p>
        </w:tc>
      </w:tr>
      <w:tr w:rsidR="002727BB" w:rsidRPr="008C6CEA" w:rsidTr="007E1D5A">
        <w:trPr>
          <w:jc w:val="center"/>
        </w:trPr>
        <w:tc>
          <w:tcPr>
            <w:tcW w:w="2099" w:type="dxa"/>
            <w:vAlign w:val="center"/>
          </w:tcPr>
          <w:p w:rsidR="002727BB" w:rsidRPr="008C6CEA" w:rsidRDefault="002727BB" w:rsidP="007E1D5A">
            <w:pPr>
              <w:rPr>
                <w:color w:val="000000" w:themeColor="text1"/>
                <w:sz w:val="20"/>
              </w:rPr>
            </w:pPr>
            <w:r w:rsidRPr="008C6CEA">
              <w:rPr>
                <w:color w:val="000000" w:themeColor="text1"/>
                <w:sz w:val="20"/>
              </w:rPr>
              <w:t>ETI</w:t>
            </w:r>
          </w:p>
        </w:tc>
        <w:tc>
          <w:tcPr>
            <w:tcW w:w="1842" w:type="dxa"/>
            <w:vAlign w:val="center"/>
          </w:tcPr>
          <w:p w:rsidR="002727BB" w:rsidRPr="008C6CEA" w:rsidRDefault="002727BB" w:rsidP="007E1D5A">
            <w:pPr>
              <w:rPr>
                <w:color w:val="000000" w:themeColor="text1"/>
                <w:sz w:val="20"/>
              </w:rPr>
            </w:pPr>
            <w:r w:rsidRPr="008C6CEA">
              <w:rPr>
                <w:color w:val="000000" w:themeColor="text1"/>
                <w:sz w:val="20"/>
              </w:rPr>
              <w:t>Référencée</w:t>
            </w:r>
          </w:p>
        </w:tc>
        <w:tc>
          <w:tcPr>
            <w:tcW w:w="1843" w:type="dxa"/>
            <w:vAlign w:val="center"/>
          </w:tcPr>
          <w:p w:rsidR="002727BB" w:rsidRPr="008C6CEA" w:rsidRDefault="002727BB" w:rsidP="007E1D5A">
            <w:pPr>
              <w:rPr>
                <w:color w:val="000000" w:themeColor="text1"/>
                <w:sz w:val="20"/>
              </w:rPr>
            </w:pPr>
            <w:r w:rsidRPr="008C6CEA">
              <w:rPr>
                <w:color w:val="000000" w:themeColor="text1"/>
                <w:sz w:val="20"/>
              </w:rPr>
              <w:t>100% plateforme</w:t>
            </w:r>
          </w:p>
        </w:tc>
        <w:tc>
          <w:tcPr>
            <w:tcW w:w="1843" w:type="dxa"/>
          </w:tcPr>
          <w:p w:rsidR="002727BB" w:rsidRPr="008C6CEA" w:rsidRDefault="002727BB" w:rsidP="007E1D5A">
            <w:pPr>
              <w:rPr>
                <w:color w:val="000000" w:themeColor="text1"/>
                <w:sz w:val="20"/>
              </w:rPr>
            </w:pPr>
            <w:r w:rsidRPr="008C6CEA">
              <w:rPr>
                <w:color w:val="000000" w:themeColor="text1"/>
                <w:sz w:val="20"/>
              </w:rPr>
              <w:t>Régionaux</w:t>
            </w:r>
          </w:p>
          <w:p w:rsidR="002727BB" w:rsidRPr="008C6CEA" w:rsidRDefault="002727BB" w:rsidP="007E1D5A">
            <w:pPr>
              <w:rPr>
                <w:color w:val="000000" w:themeColor="text1"/>
                <w:sz w:val="20"/>
              </w:rPr>
            </w:pPr>
            <w:r w:rsidRPr="008C6CEA">
              <w:rPr>
                <w:color w:val="000000" w:themeColor="text1"/>
                <w:sz w:val="20"/>
              </w:rPr>
              <w:t>4 PL</w:t>
            </w:r>
          </w:p>
        </w:tc>
      </w:tr>
      <w:tr w:rsidR="002727BB" w:rsidRPr="008C6CEA" w:rsidTr="007E1D5A">
        <w:trPr>
          <w:jc w:val="center"/>
        </w:trPr>
        <w:tc>
          <w:tcPr>
            <w:tcW w:w="2099" w:type="dxa"/>
          </w:tcPr>
          <w:p w:rsidR="002727BB" w:rsidRPr="008C6CEA" w:rsidRDefault="002727BB" w:rsidP="007E1D5A">
            <w:pPr>
              <w:jc w:val="both"/>
              <w:rPr>
                <w:color w:val="000000" w:themeColor="text1"/>
                <w:sz w:val="20"/>
              </w:rPr>
            </w:pPr>
            <w:r w:rsidRPr="008C6CEA">
              <w:rPr>
                <w:color w:val="000000" w:themeColor="text1"/>
                <w:sz w:val="20"/>
              </w:rPr>
              <w:t>Multinationale</w:t>
            </w:r>
          </w:p>
        </w:tc>
        <w:tc>
          <w:tcPr>
            <w:tcW w:w="1842" w:type="dxa"/>
          </w:tcPr>
          <w:p w:rsidR="002727BB" w:rsidRPr="008C6CEA" w:rsidRDefault="002727BB" w:rsidP="007E1D5A">
            <w:pPr>
              <w:rPr>
                <w:color w:val="000000" w:themeColor="text1"/>
                <w:sz w:val="20"/>
              </w:rPr>
            </w:pPr>
            <w:r w:rsidRPr="008C6CEA">
              <w:rPr>
                <w:color w:val="000000" w:themeColor="text1"/>
                <w:sz w:val="20"/>
              </w:rPr>
              <w:t>Référencée</w:t>
            </w:r>
          </w:p>
        </w:tc>
        <w:tc>
          <w:tcPr>
            <w:tcW w:w="1843" w:type="dxa"/>
          </w:tcPr>
          <w:p w:rsidR="002727BB" w:rsidRPr="008C6CEA" w:rsidRDefault="002727BB" w:rsidP="007E1D5A">
            <w:pPr>
              <w:rPr>
                <w:color w:val="000000" w:themeColor="text1"/>
                <w:sz w:val="20"/>
              </w:rPr>
            </w:pPr>
            <w:r w:rsidRPr="008C6CEA">
              <w:rPr>
                <w:color w:val="000000" w:themeColor="text1"/>
                <w:sz w:val="20"/>
              </w:rPr>
              <w:t>100% plateforme</w:t>
            </w:r>
          </w:p>
        </w:tc>
        <w:tc>
          <w:tcPr>
            <w:tcW w:w="1843" w:type="dxa"/>
          </w:tcPr>
          <w:p w:rsidR="002727BB" w:rsidRPr="008C6CEA" w:rsidRDefault="002727BB" w:rsidP="007E1D5A">
            <w:pPr>
              <w:rPr>
                <w:color w:val="000000" w:themeColor="text1"/>
                <w:sz w:val="20"/>
              </w:rPr>
            </w:pPr>
            <w:r w:rsidRPr="008C6CEA">
              <w:rPr>
                <w:color w:val="000000" w:themeColor="text1"/>
                <w:sz w:val="20"/>
              </w:rPr>
              <w:t>4PL</w:t>
            </w:r>
          </w:p>
        </w:tc>
      </w:tr>
    </w:tbl>
    <w:p w:rsidR="002727BB" w:rsidRPr="008C6CEA" w:rsidRDefault="002727BB" w:rsidP="002727BB">
      <w:pPr>
        <w:jc w:val="right"/>
        <w:rPr>
          <w:color w:val="000000" w:themeColor="text1"/>
        </w:rPr>
      </w:pPr>
      <w:r w:rsidRPr="008C6CEA">
        <w:rPr>
          <w:color w:val="000000" w:themeColor="text1"/>
        </w:rPr>
        <w:t>Source : auteurs</w:t>
      </w:r>
    </w:p>
    <w:p w:rsidR="00033BEB" w:rsidRPr="00366BF3" w:rsidRDefault="00033BEB" w:rsidP="000F5D8B">
      <w:pPr>
        <w:pStyle w:val="Paragraphedeliste"/>
        <w:spacing w:before="120" w:line="360" w:lineRule="auto"/>
        <w:ind w:left="284"/>
        <w:contextualSpacing w:val="0"/>
        <w:jc w:val="both"/>
        <w:rPr>
          <w:b/>
          <w:color w:val="000000" w:themeColor="text1"/>
          <w:szCs w:val="24"/>
        </w:rPr>
      </w:pPr>
    </w:p>
    <w:p w:rsidR="000D3D9E" w:rsidRPr="00366BF3" w:rsidRDefault="000D3D9E" w:rsidP="000F5D8B">
      <w:pPr>
        <w:pStyle w:val="Paragraphedeliste"/>
        <w:spacing w:before="120" w:line="360" w:lineRule="auto"/>
        <w:ind w:left="284"/>
        <w:contextualSpacing w:val="0"/>
        <w:jc w:val="both"/>
        <w:rPr>
          <w:color w:val="000000" w:themeColor="text1"/>
          <w:szCs w:val="24"/>
        </w:rPr>
      </w:pPr>
      <w:r w:rsidRPr="00366BF3">
        <w:rPr>
          <w:b/>
          <w:color w:val="000000" w:themeColor="text1"/>
          <w:szCs w:val="24"/>
        </w:rPr>
        <w:t>Annexe n°</w:t>
      </w:r>
      <w:r w:rsidR="00033BEB" w:rsidRPr="00366BF3">
        <w:rPr>
          <w:b/>
          <w:color w:val="000000" w:themeColor="text1"/>
          <w:szCs w:val="24"/>
        </w:rPr>
        <w:t>2</w:t>
      </w:r>
      <w:r w:rsidRPr="00366BF3">
        <w:rPr>
          <w:b/>
          <w:color w:val="000000" w:themeColor="text1"/>
          <w:szCs w:val="24"/>
        </w:rPr>
        <w:t xml:space="preserve"> : Définition des différentes sources de valeur ajoutée client recensées</w:t>
      </w:r>
    </w:p>
    <w:tbl>
      <w:tblPr>
        <w:tblW w:w="93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2727BB" w:rsidRPr="008C6CEA" w:rsidTr="007E1D5A">
        <w:trPr>
          <w:jc w:val="center"/>
        </w:trPr>
        <w:tc>
          <w:tcPr>
            <w:tcW w:w="9354" w:type="dxa"/>
            <w:tcBorders>
              <w:bottom w:val="nil"/>
            </w:tcBorders>
            <w:shd w:val="clear" w:color="auto" w:fill="C4BC96"/>
          </w:tcPr>
          <w:p w:rsidR="002727BB" w:rsidRPr="008C6CEA" w:rsidRDefault="002727BB" w:rsidP="007E1D5A">
            <w:pPr>
              <w:autoSpaceDE w:val="0"/>
              <w:autoSpaceDN w:val="0"/>
              <w:adjustRightInd w:val="0"/>
              <w:jc w:val="center"/>
              <w:rPr>
                <w:color w:val="000000" w:themeColor="text1"/>
              </w:rPr>
            </w:pPr>
            <w:r w:rsidRPr="008C6CEA">
              <w:rPr>
                <w:b/>
                <w:color w:val="000000" w:themeColor="text1"/>
              </w:rPr>
              <w:t>L’expertise technique</w:t>
            </w:r>
          </w:p>
        </w:tc>
      </w:tr>
      <w:tr w:rsidR="002727BB" w:rsidRPr="008C6CEA" w:rsidTr="007E1D5A">
        <w:trPr>
          <w:jc w:val="center"/>
        </w:trPr>
        <w:tc>
          <w:tcPr>
            <w:tcW w:w="9354" w:type="dxa"/>
            <w:tcBorders>
              <w:top w:val="nil"/>
              <w:bottom w:val="single" w:sz="4" w:space="0" w:color="000000"/>
            </w:tcBorders>
          </w:tcPr>
          <w:p w:rsidR="002727BB" w:rsidRPr="008C6CEA" w:rsidRDefault="002727BB" w:rsidP="007E1D5A">
            <w:pPr>
              <w:autoSpaceDE w:val="0"/>
              <w:autoSpaceDN w:val="0"/>
              <w:adjustRightInd w:val="0"/>
              <w:jc w:val="both"/>
              <w:rPr>
                <w:color w:val="000000" w:themeColor="text1"/>
                <w:sz w:val="20"/>
              </w:rPr>
            </w:pPr>
            <w:r w:rsidRPr="008C6CEA">
              <w:rPr>
                <w:color w:val="000000" w:themeColor="text1"/>
                <w:sz w:val="20"/>
              </w:rPr>
              <w:t>Ce sont à la fois l’ensemble des compétences métiers du PSL, relatives à son aptitude à démontrer sa complète maîtrise technique du transport thermo-dirigé frais et ultra-frais, ainsi que l’expérience de travail dont il bénéficie en termes de pratique des métiers du froid.</w:t>
            </w:r>
          </w:p>
        </w:tc>
      </w:tr>
      <w:tr w:rsidR="002727BB" w:rsidRPr="008C6CEA" w:rsidTr="007E1D5A">
        <w:trPr>
          <w:jc w:val="center"/>
        </w:trPr>
        <w:tc>
          <w:tcPr>
            <w:tcW w:w="9354" w:type="dxa"/>
            <w:tcBorders>
              <w:bottom w:val="nil"/>
            </w:tcBorders>
            <w:shd w:val="clear" w:color="auto" w:fill="C4BC96"/>
            <w:vAlign w:val="center"/>
          </w:tcPr>
          <w:p w:rsidR="002727BB" w:rsidRPr="008C6CEA" w:rsidRDefault="002727BB" w:rsidP="007E1D5A">
            <w:pPr>
              <w:autoSpaceDE w:val="0"/>
              <w:autoSpaceDN w:val="0"/>
              <w:adjustRightInd w:val="0"/>
              <w:jc w:val="center"/>
              <w:rPr>
                <w:b/>
                <w:color w:val="000000" w:themeColor="text1"/>
              </w:rPr>
            </w:pPr>
            <w:r w:rsidRPr="008C6CEA">
              <w:rPr>
                <w:b/>
                <w:color w:val="000000" w:themeColor="text1"/>
              </w:rPr>
              <w:t>Capacité à réaliser la prestation</w:t>
            </w:r>
          </w:p>
        </w:tc>
      </w:tr>
      <w:tr w:rsidR="002727BB" w:rsidRPr="008C6CEA" w:rsidTr="007E1D5A">
        <w:trPr>
          <w:trHeight w:val="594"/>
          <w:jc w:val="center"/>
        </w:trPr>
        <w:tc>
          <w:tcPr>
            <w:tcW w:w="9354" w:type="dxa"/>
            <w:tcBorders>
              <w:top w:val="nil"/>
              <w:bottom w:val="single" w:sz="4" w:space="0" w:color="000000"/>
            </w:tcBorders>
          </w:tcPr>
          <w:p w:rsidR="002727BB" w:rsidRPr="008C6CEA" w:rsidRDefault="002727BB" w:rsidP="007E1D5A">
            <w:pPr>
              <w:jc w:val="both"/>
              <w:rPr>
                <w:color w:val="000000" w:themeColor="text1"/>
                <w:sz w:val="20"/>
              </w:rPr>
            </w:pPr>
            <w:r w:rsidRPr="008C6CEA">
              <w:rPr>
                <w:color w:val="000000" w:themeColor="text1"/>
                <w:sz w:val="20"/>
              </w:rPr>
              <w:t xml:space="preserve">C’est le taux de réponse positif du PSL aux attentes des IAA bretonnes en termes de capacités à répondre à des demandes hétérogènes de prestation de services (ramassage, entreposage, éclatement, transport, </w:t>
            </w:r>
            <w:r w:rsidRPr="008C6CEA">
              <w:rPr>
                <w:i/>
                <w:color w:val="000000" w:themeColor="text1"/>
                <w:sz w:val="20"/>
              </w:rPr>
              <w:t>etc.</w:t>
            </w:r>
            <w:r w:rsidRPr="008C6CEA">
              <w:rPr>
                <w:color w:val="000000" w:themeColor="text1"/>
                <w:sz w:val="20"/>
              </w:rPr>
              <w:t xml:space="preserve">). </w:t>
            </w:r>
          </w:p>
        </w:tc>
      </w:tr>
      <w:tr w:rsidR="002727BB" w:rsidRPr="008C6CEA" w:rsidTr="007E1D5A">
        <w:trPr>
          <w:trHeight w:val="237"/>
          <w:jc w:val="center"/>
        </w:trPr>
        <w:tc>
          <w:tcPr>
            <w:tcW w:w="9354" w:type="dxa"/>
            <w:tcBorders>
              <w:bottom w:val="nil"/>
            </w:tcBorders>
            <w:shd w:val="clear" w:color="auto" w:fill="C4BC96"/>
          </w:tcPr>
          <w:p w:rsidR="002727BB" w:rsidRPr="008C6CEA" w:rsidRDefault="002727BB" w:rsidP="007E1D5A">
            <w:pPr>
              <w:jc w:val="center"/>
              <w:rPr>
                <w:color w:val="000000" w:themeColor="text1"/>
              </w:rPr>
            </w:pPr>
            <w:r w:rsidRPr="008C6CEA">
              <w:rPr>
                <w:b/>
                <w:color w:val="000000" w:themeColor="text1"/>
              </w:rPr>
              <w:t>Le taux de service</w:t>
            </w:r>
          </w:p>
        </w:tc>
      </w:tr>
      <w:tr w:rsidR="002727BB" w:rsidRPr="008C6CEA" w:rsidTr="007E1D5A">
        <w:trPr>
          <w:trHeight w:val="693"/>
          <w:jc w:val="center"/>
        </w:trPr>
        <w:tc>
          <w:tcPr>
            <w:tcW w:w="9354" w:type="dxa"/>
            <w:tcBorders>
              <w:top w:val="nil"/>
              <w:bottom w:val="single" w:sz="4" w:space="0" w:color="000000"/>
            </w:tcBorders>
          </w:tcPr>
          <w:p w:rsidR="002727BB" w:rsidRPr="008C6CEA" w:rsidRDefault="002727BB" w:rsidP="007E1D5A">
            <w:pPr>
              <w:jc w:val="both"/>
              <w:rPr>
                <w:color w:val="000000" w:themeColor="text1"/>
                <w:sz w:val="20"/>
              </w:rPr>
            </w:pPr>
            <w:r w:rsidRPr="008C6CEA">
              <w:rPr>
                <w:color w:val="000000" w:themeColor="text1"/>
                <w:sz w:val="20"/>
              </w:rPr>
              <w:t xml:space="preserve">C’est la mesure de la disponibilité du PSL à répondre à une demande rapidement ainsi que son aptitude à produire une prestation de qualité respectueuse du flux presté, des délais et du prix affiché.  </w:t>
            </w:r>
          </w:p>
        </w:tc>
      </w:tr>
      <w:tr w:rsidR="002727BB" w:rsidRPr="008C6CEA" w:rsidTr="007E1D5A">
        <w:trPr>
          <w:trHeight w:val="265"/>
          <w:jc w:val="center"/>
        </w:trPr>
        <w:tc>
          <w:tcPr>
            <w:tcW w:w="9354" w:type="dxa"/>
            <w:tcBorders>
              <w:bottom w:val="nil"/>
            </w:tcBorders>
            <w:shd w:val="clear" w:color="auto" w:fill="C4BC96"/>
          </w:tcPr>
          <w:p w:rsidR="002727BB" w:rsidRPr="008C6CEA" w:rsidRDefault="002727BB" w:rsidP="007E1D5A">
            <w:pPr>
              <w:jc w:val="center"/>
              <w:rPr>
                <w:color w:val="000000" w:themeColor="text1"/>
              </w:rPr>
            </w:pPr>
            <w:r w:rsidRPr="008C6CEA">
              <w:rPr>
                <w:b/>
                <w:color w:val="000000" w:themeColor="text1"/>
              </w:rPr>
              <w:t>Les tarifs</w:t>
            </w:r>
          </w:p>
        </w:tc>
      </w:tr>
      <w:tr w:rsidR="002727BB" w:rsidRPr="008C6CEA" w:rsidTr="007E1D5A">
        <w:trPr>
          <w:jc w:val="center"/>
        </w:trPr>
        <w:tc>
          <w:tcPr>
            <w:tcW w:w="9354" w:type="dxa"/>
            <w:tcBorders>
              <w:top w:val="nil"/>
              <w:bottom w:val="single" w:sz="4" w:space="0" w:color="000000"/>
            </w:tcBorders>
          </w:tcPr>
          <w:p w:rsidR="002727BB" w:rsidRPr="008C6CEA" w:rsidRDefault="002727BB" w:rsidP="007E1D5A">
            <w:pPr>
              <w:jc w:val="both"/>
              <w:rPr>
                <w:color w:val="000000" w:themeColor="text1"/>
                <w:sz w:val="20"/>
              </w:rPr>
            </w:pPr>
            <w:r w:rsidRPr="008C6CEA">
              <w:rPr>
                <w:color w:val="000000" w:themeColor="text1"/>
                <w:sz w:val="20"/>
              </w:rPr>
              <w:t>C’est le positionnement prix du PSL qui est ici mesuré au travers de sa capacité à consentir des efforts commerciaux tout en maintenant des niveaux de tarification conformes à ceux de la concurrence.</w:t>
            </w:r>
          </w:p>
        </w:tc>
      </w:tr>
      <w:tr w:rsidR="002727BB" w:rsidRPr="008C6CEA" w:rsidTr="007E1D5A">
        <w:trPr>
          <w:jc w:val="center"/>
        </w:trPr>
        <w:tc>
          <w:tcPr>
            <w:tcW w:w="9354" w:type="dxa"/>
            <w:tcBorders>
              <w:bottom w:val="nil"/>
            </w:tcBorders>
            <w:shd w:val="clear" w:color="auto" w:fill="C4BC96"/>
          </w:tcPr>
          <w:p w:rsidR="002727BB" w:rsidRPr="008C6CEA" w:rsidRDefault="002727BB" w:rsidP="007E1D5A">
            <w:pPr>
              <w:jc w:val="center"/>
              <w:rPr>
                <w:color w:val="000000" w:themeColor="text1"/>
              </w:rPr>
            </w:pPr>
            <w:r w:rsidRPr="008C6CEA">
              <w:rPr>
                <w:b/>
                <w:color w:val="000000" w:themeColor="text1"/>
              </w:rPr>
              <w:t>Le système d’information</w:t>
            </w:r>
          </w:p>
        </w:tc>
      </w:tr>
      <w:tr w:rsidR="002727BB" w:rsidRPr="008C6CEA" w:rsidTr="007E1D5A">
        <w:trPr>
          <w:jc w:val="center"/>
        </w:trPr>
        <w:tc>
          <w:tcPr>
            <w:tcW w:w="9354" w:type="dxa"/>
            <w:tcBorders>
              <w:top w:val="nil"/>
              <w:bottom w:val="single" w:sz="4" w:space="0" w:color="000000"/>
            </w:tcBorders>
          </w:tcPr>
          <w:p w:rsidR="002727BB" w:rsidRPr="008C6CEA" w:rsidRDefault="002727BB" w:rsidP="007E1D5A">
            <w:pPr>
              <w:jc w:val="both"/>
              <w:rPr>
                <w:color w:val="000000" w:themeColor="text1"/>
                <w:sz w:val="20"/>
              </w:rPr>
            </w:pPr>
            <w:r w:rsidRPr="008C6CEA">
              <w:rPr>
                <w:color w:val="000000" w:themeColor="text1"/>
                <w:sz w:val="20"/>
              </w:rPr>
              <w:t>C’est la capacité du PSL à mettre en œuvre avec les industriels une technologie au travers d’une plate-forme de travail collaborative fonctionnant sous la norme EDI. Elle comprend aussi la traçabilité logistique en tant qu’outils de transmission et d’identification de données standardisées qui s’appuie sur des moyens d’identification automatiques.</w:t>
            </w:r>
          </w:p>
        </w:tc>
      </w:tr>
      <w:tr w:rsidR="002727BB" w:rsidRPr="008C6CEA" w:rsidTr="007E1D5A">
        <w:trPr>
          <w:jc w:val="center"/>
        </w:trPr>
        <w:tc>
          <w:tcPr>
            <w:tcW w:w="9354" w:type="dxa"/>
            <w:tcBorders>
              <w:bottom w:val="nil"/>
            </w:tcBorders>
            <w:shd w:val="clear" w:color="auto" w:fill="C4BC96"/>
          </w:tcPr>
          <w:p w:rsidR="002727BB" w:rsidRPr="008C6CEA" w:rsidRDefault="002727BB" w:rsidP="007E1D5A">
            <w:pPr>
              <w:jc w:val="center"/>
              <w:rPr>
                <w:color w:val="000000" w:themeColor="text1"/>
              </w:rPr>
            </w:pPr>
            <w:r w:rsidRPr="008C6CEA">
              <w:rPr>
                <w:b/>
                <w:color w:val="000000" w:themeColor="text1"/>
              </w:rPr>
              <w:t>La maîtrise du territoire</w:t>
            </w:r>
          </w:p>
        </w:tc>
      </w:tr>
      <w:tr w:rsidR="002727BB" w:rsidRPr="008C6CEA" w:rsidTr="007E1D5A">
        <w:trPr>
          <w:jc w:val="center"/>
        </w:trPr>
        <w:tc>
          <w:tcPr>
            <w:tcW w:w="9354" w:type="dxa"/>
            <w:tcBorders>
              <w:top w:val="nil"/>
              <w:bottom w:val="single" w:sz="4" w:space="0" w:color="000000"/>
            </w:tcBorders>
          </w:tcPr>
          <w:p w:rsidR="002727BB" w:rsidRPr="008C6CEA" w:rsidRDefault="002727BB" w:rsidP="007E1D5A">
            <w:pPr>
              <w:jc w:val="both"/>
              <w:rPr>
                <w:color w:val="000000" w:themeColor="text1"/>
                <w:sz w:val="20"/>
              </w:rPr>
            </w:pPr>
            <w:r w:rsidRPr="008C6CEA">
              <w:rPr>
                <w:color w:val="000000" w:themeColor="text1"/>
                <w:sz w:val="20"/>
              </w:rPr>
              <w:t xml:space="preserve">C’est l’emprise géographique régionale, nationale et même internationale du PSL :  le système réticulaire d’agences ou d’implantations diverses. </w:t>
            </w:r>
          </w:p>
        </w:tc>
      </w:tr>
      <w:tr w:rsidR="002727BB" w:rsidRPr="008C6CEA" w:rsidTr="007E1D5A">
        <w:trPr>
          <w:jc w:val="center"/>
        </w:trPr>
        <w:tc>
          <w:tcPr>
            <w:tcW w:w="9354" w:type="dxa"/>
            <w:tcBorders>
              <w:bottom w:val="nil"/>
            </w:tcBorders>
            <w:shd w:val="clear" w:color="auto" w:fill="C4BC96"/>
          </w:tcPr>
          <w:p w:rsidR="002727BB" w:rsidRPr="008C6CEA" w:rsidRDefault="002727BB" w:rsidP="007E1D5A">
            <w:pPr>
              <w:jc w:val="center"/>
              <w:rPr>
                <w:color w:val="000000" w:themeColor="text1"/>
              </w:rPr>
            </w:pPr>
            <w:r w:rsidRPr="008C6CEA">
              <w:rPr>
                <w:b/>
                <w:color w:val="000000" w:themeColor="text1"/>
              </w:rPr>
              <w:t>Qualité relationnelle</w:t>
            </w:r>
          </w:p>
        </w:tc>
      </w:tr>
      <w:tr w:rsidR="002727BB" w:rsidRPr="008C6CEA" w:rsidTr="007E1D5A">
        <w:trPr>
          <w:jc w:val="center"/>
        </w:trPr>
        <w:tc>
          <w:tcPr>
            <w:tcW w:w="9354" w:type="dxa"/>
            <w:tcBorders>
              <w:top w:val="nil"/>
              <w:bottom w:val="single" w:sz="4" w:space="0" w:color="000000"/>
            </w:tcBorders>
          </w:tcPr>
          <w:p w:rsidR="002727BB" w:rsidRPr="008C6CEA" w:rsidRDefault="002727BB" w:rsidP="007E1D5A">
            <w:pPr>
              <w:jc w:val="both"/>
              <w:rPr>
                <w:color w:val="000000" w:themeColor="text1"/>
                <w:sz w:val="20"/>
              </w:rPr>
            </w:pPr>
            <w:r w:rsidRPr="008C6CEA">
              <w:rPr>
                <w:color w:val="000000" w:themeColor="text1"/>
                <w:sz w:val="20"/>
              </w:rPr>
              <w:t>Cela renvoie à l’évaluation de la qualité des échanges humains en matière commerciale à la fois dans les bureaux (contacts, négociations, règlements des litiges) mais aussi sur les quais entre les personnels (chauffeurs,</w:t>
            </w:r>
            <w:r w:rsidRPr="008C6CEA">
              <w:rPr>
                <w:i/>
                <w:color w:val="000000" w:themeColor="text1"/>
                <w:sz w:val="20"/>
              </w:rPr>
              <w:t xml:space="preserve"> etc.</w:t>
            </w:r>
            <w:r w:rsidRPr="008C6CEA">
              <w:rPr>
                <w:color w:val="000000" w:themeColor="text1"/>
                <w:sz w:val="20"/>
              </w:rPr>
              <w:t>).</w:t>
            </w:r>
          </w:p>
        </w:tc>
      </w:tr>
      <w:tr w:rsidR="002727BB" w:rsidRPr="008C6CEA" w:rsidTr="007E1D5A">
        <w:trPr>
          <w:jc w:val="center"/>
        </w:trPr>
        <w:tc>
          <w:tcPr>
            <w:tcW w:w="9354" w:type="dxa"/>
            <w:tcBorders>
              <w:bottom w:val="nil"/>
            </w:tcBorders>
            <w:shd w:val="clear" w:color="auto" w:fill="C4BC96"/>
          </w:tcPr>
          <w:p w:rsidR="002727BB" w:rsidRPr="008C6CEA" w:rsidRDefault="002727BB" w:rsidP="007E1D5A">
            <w:pPr>
              <w:jc w:val="center"/>
              <w:rPr>
                <w:color w:val="000000" w:themeColor="text1"/>
              </w:rPr>
            </w:pPr>
            <w:r w:rsidRPr="008C6CEA">
              <w:rPr>
                <w:b/>
                <w:color w:val="000000" w:themeColor="text1"/>
              </w:rPr>
              <w:t>Réputation</w:t>
            </w:r>
          </w:p>
        </w:tc>
      </w:tr>
      <w:tr w:rsidR="002727BB" w:rsidRPr="008C6CEA" w:rsidTr="007E1D5A">
        <w:trPr>
          <w:jc w:val="center"/>
        </w:trPr>
        <w:tc>
          <w:tcPr>
            <w:tcW w:w="9354" w:type="dxa"/>
            <w:tcBorders>
              <w:top w:val="nil"/>
              <w:left w:val="single" w:sz="4" w:space="0" w:color="auto"/>
              <w:bottom w:val="single" w:sz="4" w:space="0" w:color="auto"/>
            </w:tcBorders>
          </w:tcPr>
          <w:p w:rsidR="002727BB" w:rsidRPr="008C6CEA" w:rsidRDefault="002727BB" w:rsidP="007E1D5A">
            <w:pPr>
              <w:jc w:val="both"/>
              <w:rPr>
                <w:color w:val="000000" w:themeColor="text1"/>
                <w:sz w:val="20"/>
              </w:rPr>
            </w:pPr>
            <w:r w:rsidRPr="008C6CEA">
              <w:rPr>
                <w:color w:val="000000" w:themeColor="text1"/>
                <w:sz w:val="20"/>
              </w:rPr>
              <w:t>Cet indicateur qualifie globalement l’image de marque dont bénéficie le PSL aux yeux des IAA en termes de notoriété acquise dans la profession relativement à la concurrence.</w:t>
            </w:r>
          </w:p>
        </w:tc>
      </w:tr>
      <w:tr w:rsidR="002727BB" w:rsidRPr="008C6CEA" w:rsidTr="007E1D5A">
        <w:trPr>
          <w:jc w:val="center"/>
        </w:trPr>
        <w:tc>
          <w:tcPr>
            <w:tcW w:w="9354" w:type="dxa"/>
            <w:tcBorders>
              <w:top w:val="single" w:sz="4" w:space="0" w:color="auto"/>
              <w:left w:val="single" w:sz="4" w:space="0" w:color="auto"/>
              <w:bottom w:val="nil"/>
            </w:tcBorders>
            <w:shd w:val="clear" w:color="auto" w:fill="C4BC96"/>
          </w:tcPr>
          <w:p w:rsidR="002727BB" w:rsidRPr="008C6CEA" w:rsidRDefault="002727BB" w:rsidP="007E1D5A">
            <w:pPr>
              <w:jc w:val="center"/>
              <w:rPr>
                <w:color w:val="000000" w:themeColor="text1"/>
              </w:rPr>
            </w:pPr>
            <w:r w:rsidRPr="008C6CEA">
              <w:rPr>
                <w:b/>
                <w:color w:val="000000" w:themeColor="text1"/>
              </w:rPr>
              <w:t>Eco-efficience</w:t>
            </w:r>
          </w:p>
        </w:tc>
      </w:tr>
      <w:tr w:rsidR="002727BB" w:rsidRPr="008C6CEA" w:rsidTr="007E1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51"/>
          <w:jc w:val="center"/>
        </w:trPr>
        <w:tc>
          <w:tcPr>
            <w:tcW w:w="9354" w:type="dxa"/>
            <w:tcBorders>
              <w:top w:val="nil"/>
            </w:tcBorders>
          </w:tcPr>
          <w:p w:rsidR="002727BB" w:rsidRPr="008C6CEA" w:rsidRDefault="002727BB" w:rsidP="007E1D5A">
            <w:pPr>
              <w:jc w:val="both"/>
              <w:rPr>
                <w:b/>
                <w:color w:val="000000" w:themeColor="text1"/>
                <w:sz w:val="20"/>
                <w:u w:val="single"/>
              </w:rPr>
            </w:pPr>
            <w:r w:rsidRPr="008C6CEA">
              <w:rPr>
                <w:color w:val="000000" w:themeColor="text1"/>
                <w:sz w:val="20"/>
              </w:rPr>
              <w:t xml:space="preserve">C’est l’image du PSL qui est retenue par l’industriel du point de vue de la conception et de la mise en œuvre d’une </w:t>
            </w:r>
            <w:r w:rsidRPr="008C6CEA">
              <w:rPr>
                <w:i/>
                <w:color w:val="000000" w:themeColor="text1"/>
                <w:sz w:val="20"/>
              </w:rPr>
              <w:t>supply-chain</w:t>
            </w:r>
            <w:r w:rsidRPr="008C6CEA">
              <w:rPr>
                <w:color w:val="000000" w:themeColor="text1"/>
                <w:sz w:val="20"/>
              </w:rPr>
              <w:t xml:space="preserve"> verte, c'est-à-dire d’une relation inter-entreprise orientée vers une réalisation plus respectueuse de l’environnement.</w:t>
            </w:r>
          </w:p>
        </w:tc>
      </w:tr>
    </w:tbl>
    <w:p w:rsidR="000D3D9E" w:rsidRPr="00366BF3" w:rsidRDefault="000D3D9E" w:rsidP="000F5D8B">
      <w:pPr>
        <w:spacing w:after="160" w:line="360" w:lineRule="auto"/>
        <w:rPr>
          <w:b/>
          <w:color w:val="000000" w:themeColor="text1"/>
          <w:szCs w:val="24"/>
        </w:rPr>
      </w:pPr>
    </w:p>
    <w:p w:rsidR="002727BB" w:rsidRDefault="002727BB">
      <w:pPr>
        <w:spacing w:after="160" w:line="259" w:lineRule="auto"/>
        <w:rPr>
          <w:b/>
          <w:color w:val="000000" w:themeColor="text1"/>
          <w:szCs w:val="24"/>
        </w:rPr>
      </w:pPr>
      <w:r>
        <w:rPr>
          <w:b/>
          <w:color w:val="000000" w:themeColor="text1"/>
          <w:szCs w:val="24"/>
        </w:rPr>
        <w:br w:type="page"/>
      </w:r>
    </w:p>
    <w:p w:rsidR="000D3D9E" w:rsidRPr="00366BF3" w:rsidRDefault="000D3D9E" w:rsidP="000F5D8B">
      <w:pPr>
        <w:spacing w:before="120" w:line="360" w:lineRule="auto"/>
        <w:jc w:val="center"/>
        <w:rPr>
          <w:b/>
          <w:color w:val="000000" w:themeColor="text1"/>
          <w:szCs w:val="24"/>
        </w:rPr>
      </w:pPr>
      <w:r w:rsidRPr="00366BF3">
        <w:rPr>
          <w:b/>
          <w:color w:val="000000" w:themeColor="text1"/>
          <w:szCs w:val="24"/>
        </w:rPr>
        <w:lastRenderedPageBreak/>
        <w:t xml:space="preserve">Annexe </w:t>
      </w:r>
      <w:r w:rsidR="00033BEB" w:rsidRPr="00366BF3">
        <w:rPr>
          <w:b/>
          <w:color w:val="000000" w:themeColor="text1"/>
          <w:szCs w:val="24"/>
        </w:rPr>
        <w:t>3</w:t>
      </w:r>
      <w:r w:rsidR="002727BB">
        <w:rPr>
          <w:b/>
          <w:color w:val="000000" w:themeColor="text1"/>
          <w:szCs w:val="24"/>
        </w:rPr>
        <w:t xml:space="preserve"> : </w:t>
      </w:r>
      <w:r w:rsidRPr="00366BF3">
        <w:rPr>
          <w:b/>
          <w:bCs/>
          <w:color w:val="000000" w:themeColor="text1"/>
        </w:rPr>
        <w:t>Notes moyennes des sources de VAC par région en 2014, 2016 et 2017</w:t>
      </w:r>
    </w:p>
    <w:tbl>
      <w:tblPr>
        <w:tblW w:w="9214" w:type="dxa"/>
        <w:jc w:val="center"/>
        <w:tblCellMar>
          <w:left w:w="70" w:type="dxa"/>
          <w:right w:w="70" w:type="dxa"/>
        </w:tblCellMar>
        <w:tblLook w:val="04A0" w:firstRow="1" w:lastRow="0" w:firstColumn="1" w:lastColumn="0" w:noHBand="0" w:noVBand="1"/>
      </w:tblPr>
      <w:tblGrid>
        <w:gridCol w:w="1984"/>
        <w:gridCol w:w="709"/>
        <w:gridCol w:w="587"/>
        <w:gridCol w:w="615"/>
        <w:gridCol w:w="657"/>
        <w:gridCol w:w="551"/>
        <w:gridCol w:w="567"/>
        <w:gridCol w:w="567"/>
        <w:gridCol w:w="567"/>
        <w:gridCol w:w="567"/>
        <w:gridCol w:w="567"/>
        <w:gridCol w:w="567"/>
        <w:gridCol w:w="709"/>
      </w:tblGrid>
      <w:tr w:rsidR="002727BB" w:rsidRPr="008C6CEA" w:rsidTr="007E1D5A">
        <w:trPr>
          <w:trHeight w:val="624"/>
          <w:jc w:val="center"/>
        </w:trPr>
        <w:tc>
          <w:tcPr>
            <w:tcW w:w="1984" w:type="dxa"/>
            <w:tcBorders>
              <w:top w:val="nil"/>
              <w:left w:val="nil"/>
              <w:bottom w:val="nil"/>
              <w:right w:val="nil"/>
            </w:tcBorders>
            <w:shd w:val="clear" w:color="auto" w:fill="auto"/>
            <w:noWrap/>
            <w:vAlign w:val="bottom"/>
            <w:hideMark/>
          </w:tcPr>
          <w:p w:rsidR="002727BB" w:rsidRPr="008C6CEA" w:rsidRDefault="002727BB" w:rsidP="007E1D5A">
            <w:pPr>
              <w:rPr>
                <w:color w:val="000000" w:themeColor="text1"/>
                <w:sz w:val="20"/>
              </w:rPr>
            </w:pPr>
          </w:p>
        </w:tc>
        <w:tc>
          <w:tcPr>
            <w:tcW w:w="191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727BB" w:rsidRPr="008C6CEA" w:rsidRDefault="002727BB" w:rsidP="007E1D5A">
            <w:pPr>
              <w:jc w:val="center"/>
              <w:rPr>
                <w:b/>
                <w:bCs/>
                <w:color w:val="000000" w:themeColor="text1"/>
                <w:sz w:val="20"/>
              </w:rPr>
            </w:pPr>
            <w:r w:rsidRPr="008C6CEA">
              <w:rPr>
                <w:b/>
                <w:bCs/>
                <w:color w:val="000000" w:themeColor="text1"/>
                <w:sz w:val="20"/>
              </w:rPr>
              <w:t>Entreprises du Grand Ouest</w:t>
            </w:r>
          </w:p>
        </w:tc>
        <w:tc>
          <w:tcPr>
            <w:tcW w:w="1775" w:type="dxa"/>
            <w:gridSpan w:val="3"/>
            <w:tcBorders>
              <w:top w:val="single" w:sz="4" w:space="0" w:color="auto"/>
              <w:left w:val="nil"/>
              <w:bottom w:val="single" w:sz="4" w:space="0" w:color="auto"/>
              <w:right w:val="single" w:sz="4" w:space="0" w:color="000000"/>
            </w:tcBorders>
            <w:shd w:val="clear" w:color="auto" w:fill="auto"/>
            <w:vAlign w:val="center"/>
            <w:hideMark/>
          </w:tcPr>
          <w:p w:rsidR="002727BB" w:rsidRPr="008C6CEA" w:rsidRDefault="002727BB" w:rsidP="007E1D5A">
            <w:pPr>
              <w:jc w:val="center"/>
              <w:rPr>
                <w:b/>
                <w:bCs/>
                <w:color w:val="000000" w:themeColor="text1"/>
                <w:sz w:val="20"/>
              </w:rPr>
            </w:pPr>
            <w:r w:rsidRPr="008C6CEA">
              <w:rPr>
                <w:b/>
                <w:bCs/>
                <w:color w:val="000000" w:themeColor="text1"/>
                <w:sz w:val="20"/>
              </w:rPr>
              <w:t>Entreprises Bretonnes</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2727BB" w:rsidRPr="008C6CEA" w:rsidRDefault="002727BB" w:rsidP="007E1D5A">
            <w:pPr>
              <w:jc w:val="center"/>
              <w:rPr>
                <w:b/>
                <w:bCs/>
                <w:color w:val="000000" w:themeColor="text1"/>
                <w:sz w:val="20"/>
              </w:rPr>
            </w:pPr>
            <w:r w:rsidRPr="008C6CEA">
              <w:rPr>
                <w:b/>
                <w:bCs/>
                <w:color w:val="000000" w:themeColor="text1"/>
                <w:sz w:val="20"/>
              </w:rPr>
              <w:t>Entreprises de Normandie</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2727BB" w:rsidRPr="008C6CEA" w:rsidRDefault="002727BB" w:rsidP="007E1D5A">
            <w:pPr>
              <w:jc w:val="center"/>
              <w:rPr>
                <w:b/>
                <w:bCs/>
                <w:color w:val="000000" w:themeColor="text1"/>
                <w:sz w:val="20"/>
              </w:rPr>
            </w:pPr>
            <w:r w:rsidRPr="008C6CEA">
              <w:rPr>
                <w:b/>
                <w:bCs/>
                <w:color w:val="000000" w:themeColor="text1"/>
                <w:sz w:val="20"/>
              </w:rPr>
              <w:t>Entreprises des Pays de la Loire</w:t>
            </w:r>
          </w:p>
        </w:tc>
      </w:tr>
      <w:tr w:rsidR="002727BB" w:rsidRPr="008C6CEA" w:rsidTr="007E1D5A">
        <w:trPr>
          <w:trHeight w:val="300"/>
          <w:jc w:val="center"/>
        </w:trPr>
        <w:tc>
          <w:tcPr>
            <w:tcW w:w="1984" w:type="dxa"/>
            <w:tcBorders>
              <w:top w:val="nil"/>
              <w:left w:val="nil"/>
              <w:bottom w:val="nil"/>
              <w:right w:val="nil"/>
            </w:tcBorders>
            <w:shd w:val="clear" w:color="auto" w:fill="auto"/>
            <w:noWrap/>
            <w:vAlign w:val="bottom"/>
            <w:hideMark/>
          </w:tcPr>
          <w:p w:rsidR="002727BB" w:rsidRPr="008C6CEA" w:rsidRDefault="002727BB" w:rsidP="007E1D5A">
            <w:pPr>
              <w:jc w:val="center"/>
              <w:rPr>
                <w:rFonts w:ascii="Calibri" w:hAnsi="Calibri" w:cs="Calibri"/>
                <w:b/>
                <w:bCs/>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7BB" w:rsidRPr="008C6CEA" w:rsidRDefault="002727BB" w:rsidP="007E1D5A">
            <w:pPr>
              <w:jc w:val="center"/>
              <w:rPr>
                <w:color w:val="000000" w:themeColor="text1"/>
                <w:sz w:val="20"/>
              </w:rPr>
            </w:pPr>
            <w:r w:rsidRPr="008C6CEA">
              <w:rPr>
                <w:color w:val="000000" w:themeColor="text1"/>
                <w:sz w:val="20"/>
              </w:rPr>
              <w:t>2014</w:t>
            </w:r>
          </w:p>
        </w:tc>
        <w:tc>
          <w:tcPr>
            <w:tcW w:w="587" w:type="dxa"/>
            <w:tcBorders>
              <w:top w:val="single" w:sz="4" w:space="0" w:color="auto"/>
              <w:left w:val="nil"/>
              <w:bottom w:val="single" w:sz="4" w:space="0" w:color="auto"/>
              <w:right w:val="single" w:sz="4" w:space="0" w:color="auto"/>
            </w:tcBorders>
            <w:shd w:val="clear" w:color="auto" w:fill="auto"/>
            <w:vAlign w:val="center"/>
            <w:hideMark/>
          </w:tcPr>
          <w:p w:rsidR="002727BB" w:rsidRPr="008C6CEA" w:rsidRDefault="002727BB" w:rsidP="007E1D5A">
            <w:pPr>
              <w:jc w:val="center"/>
              <w:rPr>
                <w:color w:val="000000" w:themeColor="text1"/>
                <w:sz w:val="20"/>
              </w:rPr>
            </w:pPr>
            <w:r w:rsidRPr="008C6CEA">
              <w:rPr>
                <w:color w:val="000000" w:themeColor="text1"/>
                <w:sz w:val="20"/>
              </w:rPr>
              <w:t>2016</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2727BB" w:rsidRPr="008C6CEA" w:rsidRDefault="002727BB" w:rsidP="007E1D5A">
            <w:pPr>
              <w:jc w:val="center"/>
              <w:rPr>
                <w:color w:val="000000" w:themeColor="text1"/>
                <w:sz w:val="20"/>
              </w:rPr>
            </w:pPr>
            <w:r w:rsidRPr="008C6CEA">
              <w:rPr>
                <w:color w:val="000000" w:themeColor="text1"/>
                <w:sz w:val="20"/>
              </w:rPr>
              <w:t>2017</w:t>
            </w: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2727BB" w:rsidRPr="008C6CEA" w:rsidRDefault="002727BB" w:rsidP="007E1D5A">
            <w:pPr>
              <w:jc w:val="center"/>
              <w:rPr>
                <w:color w:val="000000" w:themeColor="text1"/>
                <w:sz w:val="20"/>
              </w:rPr>
            </w:pPr>
            <w:r w:rsidRPr="008C6CEA">
              <w:rPr>
                <w:color w:val="000000" w:themeColor="text1"/>
                <w:sz w:val="20"/>
              </w:rPr>
              <w:t>2014</w:t>
            </w:r>
          </w:p>
        </w:tc>
        <w:tc>
          <w:tcPr>
            <w:tcW w:w="551" w:type="dxa"/>
            <w:tcBorders>
              <w:top w:val="single" w:sz="4" w:space="0" w:color="auto"/>
              <w:left w:val="nil"/>
              <w:bottom w:val="single" w:sz="4" w:space="0" w:color="auto"/>
              <w:right w:val="single" w:sz="4" w:space="0" w:color="auto"/>
            </w:tcBorders>
            <w:shd w:val="clear" w:color="auto" w:fill="auto"/>
            <w:vAlign w:val="center"/>
            <w:hideMark/>
          </w:tcPr>
          <w:p w:rsidR="002727BB" w:rsidRPr="008C6CEA" w:rsidRDefault="002727BB" w:rsidP="007E1D5A">
            <w:pPr>
              <w:jc w:val="center"/>
              <w:rPr>
                <w:color w:val="000000" w:themeColor="text1"/>
                <w:sz w:val="20"/>
              </w:rPr>
            </w:pPr>
            <w:r w:rsidRPr="008C6CEA">
              <w:rPr>
                <w:color w:val="000000" w:themeColor="text1"/>
                <w:sz w:val="20"/>
              </w:rPr>
              <w:t>2016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727BB" w:rsidRPr="008C6CEA" w:rsidRDefault="002727BB" w:rsidP="007E1D5A">
            <w:pPr>
              <w:jc w:val="center"/>
              <w:rPr>
                <w:color w:val="000000" w:themeColor="text1"/>
                <w:sz w:val="20"/>
              </w:rPr>
            </w:pPr>
            <w:r w:rsidRPr="008C6CEA">
              <w:rPr>
                <w:color w:val="000000" w:themeColor="text1"/>
                <w:sz w:val="20"/>
              </w:rPr>
              <w:t>2017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727BB" w:rsidRPr="008C6CEA" w:rsidRDefault="002727BB" w:rsidP="007E1D5A">
            <w:pPr>
              <w:jc w:val="center"/>
              <w:rPr>
                <w:color w:val="000000" w:themeColor="text1"/>
                <w:sz w:val="20"/>
              </w:rPr>
            </w:pPr>
            <w:r w:rsidRPr="008C6CEA">
              <w:rPr>
                <w:color w:val="000000" w:themeColor="text1"/>
                <w:sz w:val="20"/>
              </w:rPr>
              <w:t>2014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727BB" w:rsidRPr="008C6CEA" w:rsidRDefault="002727BB" w:rsidP="007E1D5A">
            <w:pPr>
              <w:jc w:val="center"/>
              <w:rPr>
                <w:color w:val="000000" w:themeColor="text1"/>
                <w:sz w:val="20"/>
              </w:rPr>
            </w:pPr>
            <w:r w:rsidRPr="008C6CEA">
              <w:rPr>
                <w:color w:val="000000" w:themeColor="text1"/>
                <w:sz w:val="20"/>
              </w:rPr>
              <w:t>2016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727BB" w:rsidRPr="008C6CEA" w:rsidRDefault="002727BB" w:rsidP="007E1D5A">
            <w:pPr>
              <w:jc w:val="center"/>
              <w:rPr>
                <w:color w:val="000000" w:themeColor="text1"/>
                <w:sz w:val="20"/>
              </w:rPr>
            </w:pPr>
            <w:r w:rsidRPr="008C6CEA">
              <w:rPr>
                <w:color w:val="000000" w:themeColor="text1"/>
                <w:sz w:val="20"/>
              </w:rPr>
              <w:t>2017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727BB" w:rsidRPr="008C6CEA" w:rsidRDefault="002727BB" w:rsidP="007E1D5A">
            <w:pPr>
              <w:jc w:val="center"/>
              <w:rPr>
                <w:color w:val="000000" w:themeColor="text1"/>
                <w:sz w:val="20"/>
              </w:rPr>
            </w:pPr>
            <w:r w:rsidRPr="008C6CEA">
              <w:rPr>
                <w:color w:val="000000" w:themeColor="text1"/>
                <w:sz w:val="20"/>
              </w:rPr>
              <w:t>2014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727BB" w:rsidRPr="008C6CEA" w:rsidRDefault="002727BB" w:rsidP="007E1D5A">
            <w:pPr>
              <w:jc w:val="center"/>
              <w:rPr>
                <w:color w:val="000000" w:themeColor="text1"/>
                <w:sz w:val="20"/>
              </w:rPr>
            </w:pPr>
            <w:r w:rsidRPr="008C6CEA">
              <w:rPr>
                <w:color w:val="000000" w:themeColor="text1"/>
                <w:sz w:val="20"/>
              </w:rPr>
              <w:t>2016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27BB" w:rsidRPr="008C6CEA" w:rsidRDefault="002727BB" w:rsidP="007E1D5A">
            <w:pPr>
              <w:jc w:val="center"/>
              <w:rPr>
                <w:color w:val="000000" w:themeColor="text1"/>
                <w:sz w:val="20"/>
              </w:rPr>
            </w:pPr>
            <w:r w:rsidRPr="008C6CEA">
              <w:rPr>
                <w:color w:val="000000" w:themeColor="text1"/>
                <w:sz w:val="20"/>
              </w:rPr>
              <w:t>2017</w:t>
            </w:r>
          </w:p>
        </w:tc>
      </w:tr>
      <w:tr w:rsidR="002727BB" w:rsidRPr="008C6CEA" w:rsidTr="007E1D5A">
        <w:trPr>
          <w:trHeight w:val="300"/>
          <w:jc w:val="center"/>
        </w:trPr>
        <w:tc>
          <w:tcPr>
            <w:tcW w:w="1984" w:type="dxa"/>
            <w:tcBorders>
              <w:top w:val="single" w:sz="4" w:space="0" w:color="auto"/>
              <w:left w:val="single" w:sz="4" w:space="0" w:color="auto"/>
              <w:bottom w:val="single" w:sz="4" w:space="0" w:color="auto"/>
              <w:right w:val="nil"/>
            </w:tcBorders>
            <w:shd w:val="clear" w:color="auto" w:fill="auto"/>
            <w:vAlign w:val="center"/>
            <w:hideMark/>
          </w:tcPr>
          <w:p w:rsidR="002727BB" w:rsidRPr="008C6CEA" w:rsidRDefault="002727BB" w:rsidP="007E1D5A">
            <w:pPr>
              <w:rPr>
                <w:b/>
                <w:bCs/>
                <w:color w:val="000000" w:themeColor="text1"/>
                <w:sz w:val="20"/>
              </w:rPr>
            </w:pPr>
            <w:r w:rsidRPr="008C6CEA">
              <w:rPr>
                <w:b/>
                <w:bCs/>
                <w:color w:val="000000" w:themeColor="text1"/>
                <w:sz w:val="20"/>
              </w:rPr>
              <w:t xml:space="preserve">Capacité à réaliser la prestation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8,2</w:t>
            </w:r>
          </w:p>
        </w:tc>
        <w:tc>
          <w:tcPr>
            <w:tcW w:w="587"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7,8</w:t>
            </w:r>
          </w:p>
        </w:tc>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8,05</w:t>
            </w:r>
          </w:p>
        </w:tc>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8,1</w:t>
            </w:r>
          </w:p>
        </w:tc>
        <w:tc>
          <w:tcPr>
            <w:tcW w:w="551"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8,08</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8,2</w:t>
            </w:r>
          </w:p>
        </w:tc>
        <w:tc>
          <w:tcPr>
            <w:tcW w:w="567"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8,05</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8,3</w:t>
            </w:r>
          </w:p>
        </w:tc>
        <w:tc>
          <w:tcPr>
            <w:tcW w:w="567"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8,3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8,01</w:t>
            </w:r>
          </w:p>
        </w:tc>
      </w:tr>
      <w:tr w:rsidR="002727BB" w:rsidRPr="008C6CEA" w:rsidTr="007E1D5A">
        <w:trPr>
          <w:trHeight w:val="300"/>
          <w:jc w:val="center"/>
        </w:trPr>
        <w:tc>
          <w:tcPr>
            <w:tcW w:w="1984" w:type="dxa"/>
            <w:tcBorders>
              <w:top w:val="nil"/>
              <w:left w:val="single" w:sz="4" w:space="0" w:color="auto"/>
              <w:bottom w:val="single" w:sz="4" w:space="0" w:color="auto"/>
              <w:right w:val="nil"/>
            </w:tcBorders>
            <w:shd w:val="clear" w:color="auto" w:fill="auto"/>
            <w:vAlign w:val="center"/>
            <w:hideMark/>
          </w:tcPr>
          <w:p w:rsidR="002727BB" w:rsidRPr="008C6CEA" w:rsidRDefault="002727BB" w:rsidP="007E1D5A">
            <w:pPr>
              <w:rPr>
                <w:b/>
                <w:bCs/>
                <w:color w:val="000000" w:themeColor="text1"/>
                <w:sz w:val="20"/>
              </w:rPr>
            </w:pPr>
            <w:r w:rsidRPr="008C6CEA">
              <w:rPr>
                <w:b/>
                <w:bCs/>
                <w:color w:val="000000" w:themeColor="text1"/>
                <w:sz w:val="20"/>
              </w:rPr>
              <w:t>Taux de service</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8,0</w:t>
            </w:r>
          </w:p>
        </w:tc>
        <w:tc>
          <w:tcPr>
            <w:tcW w:w="587"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7,5</w:t>
            </w:r>
          </w:p>
        </w:tc>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7,95</w:t>
            </w:r>
          </w:p>
        </w:tc>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7,8</w:t>
            </w:r>
          </w:p>
        </w:tc>
        <w:tc>
          <w:tcPr>
            <w:tcW w:w="551"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7,4</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7,83</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8,1</w:t>
            </w:r>
          </w:p>
        </w:tc>
        <w:tc>
          <w:tcPr>
            <w:tcW w:w="567"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7,2</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7,87</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8,3</w:t>
            </w:r>
          </w:p>
        </w:tc>
        <w:tc>
          <w:tcPr>
            <w:tcW w:w="567"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8,0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7,91</w:t>
            </w:r>
          </w:p>
        </w:tc>
      </w:tr>
      <w:tr w:rsidR="002727BB" w:rsidRPr="008C6CEA" w:rsidTr="007E1D5A">
        <w:trPr>
          <w:trHeight w:val="300"/>
          <w:jc w:val="center"/>
        </w:trPr>
        <w:tc>
          <w:tcPr>
            <w:tcW w:w="1984" w:type="dxa"/>
            <w:tcBorders>
              <w:top w:val="nil"/>
              <w:left w:val="single" w:sz="4" w:space="0" w:color="auto"/>
              <w:bottom w:val="single" w:sz="4" w:space="0" w:color="auto"/>
              <w:right w:val="nil"/>
            </w:tcBorders>
            <w:shd w:val="clear" w:color="auto" w:fill="auto"/>
            <w:vAlign w:val="center"/>
            <w:hideMark/>
          </w:tcPr>
          <w:p w:rsidR="002727BB" w:rsidRPr="008C6CEA" w:rsidRDefault="002727BB" w:rsidP="007E1D5A">
            <w:pPr>
              <w:rPr>
                <w:b/>
                <w:bCs/>
                <w:color w:val="000000" w:themeColor="text1"/>
                <w:sz w:val="20"/>
              </w:rPr>
            </w:pPr>
            <w:r w:rsidRPr="008C6CEA">
              <w:rPr>
                <w:b/>
                <w:bCs/>
                <w:color w:val="000000" w:themeColor="text1"/>
                <w:sz w:val="20"/>
              </w:rPr>
              <w:t>Tarifs proposés</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7,0</w:t>
            </w:r>
          </w:p>
        </w:tc>
        <w:tc>
          <w:tcPr>
            <w:tcW w:w="587"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6,5</w:t>
            </w:r>
          </w:p>
        </w:tc>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6,89</w:t>
            </w:r>
          </w:p>
        </w:tc>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7,1</w:t>
            </w:r>
          </w:p>
        </w:tc>
        <w:tc>
          <w:tcPr>
            <w:tcW w:w="551"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6,6</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6,84</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7,0</w:t>
            </w:r>
          </w:p>
        </w:tc>
        <w:tc>
          <w:tcPr>
            <w:tcW w:w="567"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6,2</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6,87</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6,9</w:t>
            </w:r>
          </w:p>
        </w:tc>
        <w:tc>
          <w:tcPr>
            <w:tcW w:w="567"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6,7</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6,84</w:t>
            </w:r>
          </w:p>
        </w:tc>
      </w:tr>
      <w:tr w:rsidR="002727BB" w:rsidRPr="008C6CEA" w:rsidTr="007E1D5A">
        <w:trPr>
          <w:trHeight w:val="300"/>
          <w:jc w:val="center"/>
        </w:trPr>
        <w:tc>
          <w:tcPr>
            <w:tcW w:w="1984" w:type="dxa"/>
            <w:tcBorders>
              <w:top w:val="nil"/>
              <w:left w:val="single" w:sz="4" w:space="0" w:color="auto"/>
              <w:bottom w:val="single" w:sz="4" w:space="0" w:color="auto"/>
              <w:right w:val="nil"/>
            </w:tcBorders>
            <w:shd w:val="clear" w:color="auto" w:fill="auto"/>
            <w:vAlign w:val="center"/>
            <w:hideMark/>
          </w:tcPr>
          <w:p w:rsidR="002727BB" w:rsidRPr="008C6CEA" w:rsidRDefault="002727BB" w:rsidP="007E1D5A">
            <w:pPr>
              <w:rPr>
                <w:b/>
                <w:bCs/>
                <w:color w:val="000000" w:themeColor="text1"/>
                <w:sz w:val="20"/>
              </w:rPr>
            </w:pPr>
            <w:r w:rsidRPr="008C6CEA">
              <w:rPr>
                <w:b/>
                <w:bCs/>
                <w:color w:val="000000" w:themeColor="text1"/>
                <w:sz w:val="20"/>
              </w:rPr>
              <w:t>Expertise technique</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7,0</w:t>
            </w:r>
          </w:p>
        </w:tc>
        <w:tc>
          <w:tcPr>
            <w:tcW w:w="587"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7,2</w:t>
            </w:r>
          </w:p>
        </w:tc>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7,35</w:t>
            </w:r>
          </w:p>
        </w:tc>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6,6</w:t>
            </w:r>
          </w:p>
        </w:tc>
        <w:tc>
          <w:tcPr>
            <w:tcW w:w="551"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7,4</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7,42</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7,5</w:t>
            </w:r>
          </w:p>
        </w:tc>
        <w:tc>
          <w:tcPr>
            <w:tcW w:w="567"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7,1</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7,33</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7,3</w:t>
            </w:r>
          </w:p>
        </w:tc>
        <w:tc>
          <w:tcPr>
            <w:tcW w:w="567"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7,35</w:t>
            </w:r>
          </w:p>
        </w:tc>
      </w:tr>
      <w:tr w:rsidR="002727BB" w:rsidRPr="008C6CEA" w:rsidTr="007E1D5A">
        <w:trPr>
          <w:trHeight w:val="600"/>
          <w:jc w:val="center"/>
        </w:trPr>
        <w:tc>
          <w:tcPr>
            <w:tcW w:w="1984" w:type="dxa"/>
            <w:tcBorders>
              <w:top w:val="nil"/>
              <w:left w:val="single" w:sz="4" w:space="0" w:color="auto"/>
              <w:bottom w:val="single" w:sz="4" w:space="0" w:color="auto"/>
              <w:right w:val="nil"/>
            </w:tcBorders>
            <w:shd w:val="clear" w:color="auto" w:fill="auto"/>
            <w:vAlign w:val="center"/>
            <w:hideMark/>
          </w:tcPr>
          <w:p w:rsidR="002727BB" w:rsidRPr="008C6CEA" w:rsidRDefault="002727BB" w:rsidP="007E1D5A">
            <w:pPr>
              <w:rPr>
                <w:b/>
                <w:bCs/>
                <w:color w:val="000000" w:themeColor="text1"/>
                <w:sz w:val="20"/>
              </w:rPr>
            </w:pPr>
            <w:r w:rsidRPr="008C6CEA">
              <w:rPr>
                <w:b/>
                <w:bCs/>
                <w:color w:val="000000" w:themeColor="text1"/>
                <w:sz w:val="20"/>
              </w:rPr>
              <w:t xml:space="preserve">Qualité relationnelle et commerciale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7,7</w:t>
            </w:r>
          </w:p>
        </w:tc>
        <w:tc>
          <w:tcPr>
            <w:tcW w:w="587"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7,2</w:t>
            </w:r>
          </w:p>
        </w:tc>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7,69</w:t>
            </w:r>
          </w:p>
        </w:tc>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7,3</w:t>
            </w:r>
          </w:p>
        </w:tc>
        <w:tc>
          <w:tcPr>
            <w:tcW w:w="551"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7,1</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7,69</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8,3</w:t>
            </w:r>
          </w:p>
        </w:tc>
        <w:tc>
          <w:tcPr>
            <w:tcW w:w="567"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6,9</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7,61</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7,7</w:t>
            </w:r>
          </w:p>
        </w:tc>
        <w:tc>
          <w:tcPr>
            <w:tcW w:w="567"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7,6</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7,67</w:t>
            </w:r>
          </w:p>
        </w:tc>
      </w:tr>
      <w:tr w:rsidR="002727BB" w:rsidRPr="008C6CEA" w:rsidTr="007E1D5A">
        <w:trPr>
          <w:trHeight w:val="300"/>
          <w:jc w:val="center"/>
        </w:trPr>
        <w:tc>
          <w:tcPr>
            <w:tcW w:w="1984" w:type="dxa"/>
            <w:tcBorders>
              <w:top w:val="nil"/>
              <w:left w:val="single" w:sz="4" w:space="0" w:color="auto"/>
              <w:bottom w:val="single" w:sz="4" w:space="0" w:color="auto"/>
              <w:right w:val="nil"/>
            </w:tcBorders>
            <w:shd w:val="clear" w:color="auto" w:fill="auto"/>
            <w:vAlign w:val="center"/>
            <w:hideMark/>
          </w:tcPr>
          <w:p w:rsidR="002727BB" w:rsidRPr="008C6CEA" w:rsidRDefault="002727BB" w:rsidP="007E1D5A">
            <w:pPr>
              <w:rPr>
                <w:b/>
                <w:bCs/>
                <w:color w:val="000000" w:themeColor="text1"/>
                <w:sz w:val="20"/>
              </w:rPr>
            </w:pPr>
            <w:r w:rsidRPr="008C6CEA">
              <w:rPr>
                <w:b/>
                <w:bCs/>
                <w:color w:val="000000" w:themeColor="text1"/>
                <w:sz w:val="20"/>
              </w:rPr>
              <w:t>Maîtrise du territoire</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7,8</w:t>
            </w:r>
          </w:p>
        </w:tc>
        <w:tc>
          <w:tcPr>
            <w:tcW w:w="587"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7,7</w:t>
            </w:r>
          </w:p>
        </w:tc>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7,77</w:t>
            </w:r>
          </w:p>
        </w:tc>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7,4</w:t>
            </w:r>
          </w:p>
        </w:tc>
        <w:tc>
          <w:tcPr>
            <w:tcW w:w="551"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7,8</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7,76</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8,2</w:t>
            </w:r>
          </w:p>
        </w:tc>
        <w:tc>
          <w:tcPr>
            <w:tcW w:w="567"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7,3</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7,81</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8,1</w:t>
            </w:r>
          </w:p>
        </w:tc>
        <w:tc>
          <w:tcPr>
            <w:tcW w:w="567"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8,0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7,77</w:t>
            </w:r>
          </w:p>
        </w:tc>
      </w:tr>
      <w:tr w:rsidR="002727BB" w:rsidRPr="008C6CEA" w:rsidTr="007E1D5A">
        <w:trPr>
          <w:trHeight w:val="300"/>
          <w:jc w:val="center"/>
        </w:trPr>
        <w:tc>
          <w:tcPr>
            <w:tcW w:w="1984" w:type="dxa"/>
            <w:tcBorders>
              <w:top w:val="nil"/>
              <w:left w:val="single" w:sz="4" w:space="0" w:color="auto"/>
              <w:bottom w:val="single" w:sz="4" w:space="0" w:color="auto"/>
              <w:right w:val="nil"/>
            </w:tcBorders>
            <w:shd w:val="clear" w:color="auto" w:fill="auto"/>
            <w:vAlign w:val="center"/>
            <w:hideMark/>
          </w:tcPr>
          <w:p w:rsidR="002727BB" w:rsidRPr="008C6CEA" w:rsidRDefault="002727BB" w:rsidP="007E1D5A">
            <w:pPr>
              <w:rPr>
                <w:b/>
                <w:bCs/>
                <w:color w:val="000000" w:themeColor="text1"/>
                <w:sz w:val="20"/>
              </w:rPr>
            </w:pPr>
            <w:r w:rsidRPr="008C6CEA">
              <w:rPr>
                <w:b/>
                <w:bCs/>
                <w:color w:val="000000" w:themeColor="text1"/>
                <w:sz w:val="20"/>
              </w:rPr>
              <w:t>Systèmes d’informations</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6,9</w:t>
            </w:r>
          </w:p>
        </w:tc>
        <w:tc>
          <w:tcPr>
            <w:tcW w:w="587"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7,4</w:t>
            </w:r>
          </w:p>
        </w:tc>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7,26</w:t>
            </w:r>
          </w:p>
        </w:tc>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6,5</w:t>
            </w:r>
          </w:p>
        </w:tc>
        <w:tc>
          <w:tcPr>
            <w:tcW w:w="551"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7,6</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7,15</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7,4</w:t>
            </w:r>
          </w:p>
        </w:tc>
        <w:tc>
          <w:tcPr>
            <w:tcW w:w="567"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6,7</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7,23</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7,0</w:t>
            </w:r>
          </w:p>
        </w:tc>
        <w:tc>
          <w:tcPr>
            <w:tcW w:w="567"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7,8</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7,22</w:t>
            </w:r>
          </w:p>
        </w:tc>
      </w:tr>
      <w:tr w:rsidR="002727BB" w:rsidRPr="008C6CEA" w:rsidTr="007E1D5A">
        <w:trPr>
          <w:trHeight w:val="300"/>
          <w:jc w:val="center"/>
        </w:trPr>
        <w:tc>
          <w:tcPr>
            <w:tcW w:w="1984" w:type="dxa"/>
            <w:tcBorders>
              <w:top w:val="nil"/>
              <w:left w:val="single" w:sz="4" w:space="0" w:color="auto"/>
              <w:bottom w:val="single" w:sz="4" w:space="0" w:color="auto"/>
              <w:right w:val="nil"/>
            </w:tcBorders>
            <w:shd w:val="clear" w:color="auto" w:fill="auto"/>
            <w:vAlign w:val="center"/>
            <w:hideMark/>
          </w:tcPr>
          <w:p w:rsidR="002727BB" w:rsidRPr="008C6CEA" w:rsidRDefault="002727BB" w:rsidP="007E1D5A">
            <w:pPr>
              <w:rPr>
                <w:b/>
                <w:bCs/>
                <w:color w:val="000000" w:themeColor="text1"/>
                <w:sz w:val="20"/>
              </w:rPr>
            </w:pPr>
            <w:r w:rsidRPr="008C6CEA">
              <w:rPr>
                <w:b/>
                <w:bCs/>
                <w:color w:val="000000" w:themeColor="text1"/>
                <w:sz w:val="20"/>
              </w:rPr>
              <w:t>Réputation</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7,1</w:t>
            </w:r>
          </w:p>
        </w:tc>
        <w:tc>
          <w:tcPr>
            <w:tcW w:w="587"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7,4</w:t>
            </w:r>
          </w:p>
        </w:tc>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7,54</w:t>
            </w:r>
          </w:p>
        </w:tc>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6,6</w:t>
            </w:r>
          </w:p>
        </w:tc>
        <w:tc>
          <w:tcPr>
            <w:tcW w:w="551"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7,5</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7,73</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8,3</w:t>
            </w:r>
          </w:p>
        </w:tc>
        <w:tc>
          <w:tcPr>
            <w:tcW w:w="567"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7,2</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7,75</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6,9</w:t>
            </w:r>
          </w:p>
        </w:tc>
        <w:tc>
          <w:tcPr>
            <w:tcW w:w="567"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7,6</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7,53</w:t>
            </w:r>
          </w:p>
        </w:tc>
      </w:tr>
      <w:tr w:rsidR="002727BB" w:rsidRPr="008C6CEA" w:rsidTr="007E1D5A">
        <w:trPr>
          <w:trHeight w:val="300"/>
          <w:jc w:val="center"/>
        </w:trPr>
        <w:tc>
          <w:tcPr>
            <w:tcW w:w="1984" w:type="dxa"/>
            <w:tcBorders>
              <w:top w:val="nil"/>
              <w:left w:val="single" w:sz="4" w:space="0" w:color="auto"/>
              <w:bottom w:val="single" w:sz="4" w:space="0" w:color="auto"/>
              <w:right w:val="nil"/>
            </w:tcBorders>
            <w:shd w:val="clear" w:color="auto" w:fill="auto"/>
            <w:vAlign w:val="center"/>
            <w:hideMark/>
          </w:tcPr>
          <w:p w:rsidR="002727BB" w:rsidRPr="008C6CEA" w:rsidRDefault="002727BB" w:rsidP="007E1D5A">
            <w:pPr>
              <w:rPr>
                <w:b/>
                <w:bCs/>
                <w:color w:val="000000" w:themeColor="text1"/>
                <w:sz w:val="20"/>
              </w:rPr>
            </w:pPr>
            <w:r w:rsidRPr="008C6CEA">
              <w:rPr>
                <w:b/>
                <w:bCs/>
                <w:color w:val="000000" w:themeColor="text1"/>
                <w:sz w:val="20"/>
              </w:rPr>
              <w:t>Eco-efficience</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6,4</w:t>
            </w:r>
          </w:p>
        </w:tc>
        <w:tc>
          <w:tcPr>
            <w:tcW w:w="587"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6,5</w:t>
            </w:r>
          </w:p>
        </w:tc>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6,46</w:t>
            </w:r>
          </w:p>
        </w:tc>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6,4</w:t>
            </w:r>
          </w:p>
        </w:tc>
        <w:tc>
          <w:tcPr>
            <w:tcW w:w="551"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6,6</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6,67</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7,2</w:t>
            </w:r>
          </w:p>
        </w:tc>
        <w:tc>
          <w:tcPr>
            <w:tcW w:w="567"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6,3</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6,65</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6,0</w:t>
            </w:r>
          </w:p>
        </w:tc>
        <w:tc>
          <w:tcPr>
            <w:tcW w:w="567"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6,8</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727BB" w:rsidRPr="008C6CEA" w:rsidRDefault="002727BB" w:rsidP="007E1D5A">
            <w:pPr>
              <w:jc w:val="center"/>
              <w:rPr>
                <w:color w:val="000000" w:themeColor="text1"/>
                <w:sz w:val="20"/>
              </w:rPr>
            </w:pPr>
            <w:r w:rsidRPr="008C6CEA">
              <w:rPr>
                <w:color w:val="000000" w:themeColor="text1"/>
                <w:sz w:val="20"/>
              </w:rPr>
              <w:t>6,39</w:t>
            </w:r>
          </w:p>
        </w:tc>
      </w:tr>
      <w:tr w:rsidR="002727BB" w:rsidRPr="008C6CEA" w:rsidTr="007E1D5A">
        <w:trPr>
          <w:trHeight w:val="300"/>
          <w:jc w:val="center"/>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7BB" w:rsidRPr="008C6CEA" w:rsidRDefault="002727BB" w:rsidP="007E1D5A">
            <w:pPr>
              <w:rPr>
                <w:b/>
                <w:bCs/>
                <w:color w:val="000000" w:themeColor="text1"/>
                <w:sz w:val="20"/>
              </w:rPr>
            </w:pPr>
            <w:r w:rsidRPr="008C6CEA">
              <w:rPr>
                <w:b/>
                <w:bCs/>
                <w:color w:val="000000" w:themeColor="text1"/>
                <w:sz w:val="20"/>
              </w:rPr>
              <w:t>VAC moyenne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b/>
                <w:color w:val="000000" w:themeColor="text1"/>
                <w:sz w:val="20"/>
              </w:rPr>
            </w:pPr>
            <w:r w:rsidRPr="008C6CEA">
              <w:rPr>
                <w:b/>
                <w:color w:val="000000" w:themeColor="text1"/>
                <w:sz w:val="20"/>
              </w:rPr>
              <w:t>7,23</w:t>
            </w:r>
          </w:p>
        </w:tc>
        <w:tc>
          <w:tcPr>
            <w:tcW w:w="587" w:type="dxa"/>
            <w:tcBorders>
              <w:top w:val="single" w:sz="4" w:space="0" w:color="auto"/>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b/>
                <w:color w:val="000000" w:themeColor="text1"/>
                <w:sz w:val="20"/>
              </w:rPr>
            </w:pPr>
            <w:r w:rsidRPr="008C6CEA">
              <w:rPr>
                <w:b/>
                <w:color w:val="000000" w:themeColor="text1"/>
                <w:sz w:val="20"/>
              </w:rPr>
              <w:t>6,89</w:t>
            </w:r>
          </w:p>
        </w:tc>
        <w:tc>
          <w:tcPr>
            <w:tcW w:w="615"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b/>
                <w:color w:val="000000" w:themeColor="text1"/>
                <w:sz w:val="20"/>
              </w:rPr>
            </w:pPr>
            <w:r w:rsidRPr="008C6CEA">
              <w:rPr>
                <w:b/>
                <w:color w:val="000000" w:themeColor="text1"/>
                <w:sz w:val="20"/>
              </w:rPr>
              <w:t>7,43</w:t>
            </w:r>
          </w:p>
        </w:tc>
        <w:tc>
          <w:tcPr>
            <w:tcW w:w="657" w:type="dxa"/>
            <w:tcBorders>
              <w:top w:val="single" w:sz="4" w:space="0" w:color="auto"/>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b/>
                <w:color w:val="000000" w:themeColor="text1"/>
                <w:sz w:val="20"/>
              </w:rPr>
            </w:pPr>
            <w:r w:rsidRPr="008C6CEA">
              <w:rPr>
                <w:b/>
                <w:color w:val="000000" w:themeColor="text1"/>
                <w:sz w:val="20"/>
              </w:rPr>
              <w:t>6,97</w:t>
            </w:r>
          </w:p>
        </w:tc>
        <w:tc>
          <w:tcPr>
            <w:tcW w:w="551" w:type="dxa"/>
            <w:tcBorders>
              <w:top w:val="single" w:sz="4" w:space="0" w:color="auto"/>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b/>
                <w:color w:val="000000" w:themeColor="text1"/>
                <w:sz w:val="20"/>
              </w:rPr>
            </w:pPr>
            <w:r w:rsidRPr="008C6CEA">
              <w:rPr>
                <w:b/>
                <w:color w:val="000000" w:themeColor="text1"/>
                <w:sz w:val="20"/>
              </w:rPr>
              <w:t>7,03</w:t>
            </w:r>
          </w:p>
        </w:tc>
        <w:tc>
          <w:tcPr>
            <w:tcW w:w="567"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b/>
                <w:color w:val="000000" w:themeColor="text1"/>
                <w:sz w:val="20"/>
              </w:rPr>
            </w:pPr>
            <w:r w:rsidRPr="008C6CEA">
              <w:rPr>
                <w:b/>
                <w:color w:val="000000" w:themeColor="text1"/>
                <w:sz w:val="20"/>
              </w:rPr>
              <w:t>7,21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b/>
                <w:color w:val="000000" w:themeColor="text1"/>
                <w:sz w:val="20"/>
              </w:rPr>
            </w:pPr>
            <w:r w:rsidRPr="008C6CEA">
              <w:rPr>
                <w:b/>
                <w:color w:val="000000" w:themeColor="text1"/>
                <w:sz w:val="20"/>
              </w:rPr>
              <w:t>7,51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b/>
                <w:color w:val="000000" w:themeColor="text1"/>
                <w:sz w:val="20"/>
              </w:rPr>
            </w:pPr>
            <w:r w:rsidRPr="008C6CEA">
              <w:rPr>
                <w:b/>
                <w:color w:val="000000" w:themeColor="text1"/>
                <w:sz w:val="20"/>
              </w:rPr>
              <w:t>6,25</w:t>
            </w:r>
          </w:p>
        </w:tc>
        <w:tc>
          <w:tcPr>
            <w:tcW w:w="567"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b/>
                <w:color w:val="000000" w:themeColor="text1"/>
                <w:sz w:val="20"/>
              </w:rPr>
            </w:pPr>
            <w:r w:rsidRPr="008C6CEA">
              <w:rPr>
                <w:b/>
                <w:color w:val="000000" w:themeColor="text1"/>
                <w:sz w:val="20"/>
              </w:rPr>
              <w:t>7,25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b/>
                <w:color w:val="000000" w:themeColor="text1"/>
                <w:sz w:val="20"/>
              </w:rPr>
            </w:pPr>
            <w:r w:rsidRPr="008C6CEA">
              <w:rPr>
                <w:b/>
                <w:color w:val="000000" w:themeColor="text1"/>
                <w:sz w:val="20"/>
              </w:rPr>
              <w:t>7,4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b/>
                <w:color w:val="000000" w:themeColor="text1"/>
                <w:sz w:val="20"/>
              </w:rPr>
            </w:pPr>
            <w:r w:rsidRPr="008C6CEA">
              <w:rPr>
                <w:b/>
                <w:color w:val="000000" w:themeColor="text1"/>
                <w:sz w:val="20"/>
              </w:rPr>
              <w:t>7,46</w:t>
            </w:r>
          </w:p>
        </w:tc>
        <w:tc>
          <w:tcPr>
            <w:tcW w:w="709" w:type="dxa"/>
            <w:tcBorders>
              <w:top w:val="nil"/>
              <w:left w:val="nil"/>
              <w:bottom w:val="single" w:sz="4" w:space="0" w:color="auto"/>
              <w:right w:val="single" w:sz="4" w:space="0" w:color="auto"/>
            </w:tcBorders>
            <w:shd w:val="clear" w:color="auto" w:fill="auto"/>
            <w:noWrap/>
            <w:vAlign w:val="center"/>
            <w:hideMark/>
          </w:tcPr>
          <w:p w:rsidR="002727BB" w:rsidRPr="008C6CEA" w:rsidRDefault="002727BB" w:rsidP="007E1D5A">
            <w:pPr>
              <w:jc w:val="center"/>
              <w:rPr>
                <w:b/>
                <w:color w:val="000000" w:themeColor="text1"/>
                <w:sz w:val="20"/>
              </w:rPr>
            </w:pPr>
            <w:r w:rsidRPr="008C6CEA">
              <w:rPr>
                <w:b/>
                <w:color w:val="000000" w:themeColor="text1"/>
                <w:sz w:val="20"/>
              </w:rPr>
              <w:t>7,17</w:t>
            </w:r>
          </w:p>
        </w:tc>
      </w:tr>
    </w:tbl>
    <w:p w:rsidR="000D3D9E" w:rsidRPr="00366BF3" w:rsidRDefault="000D3D9E" w:rsidP="000F5D8B">
      <w:pPr>
        <w:tabs>
          <w:tab w:val="left" w:pos="11523"/>
          <w:tab w:val="left" w:pos="12723"/>
          <w:tab w:val="left" w:pos="15123"/>
        </w:tabs>
        <w:spacing w:line="360" w:lineRule="auto"/>
        <w:jc w:val="center"/>
        <w:rPr>
          <w:color w:val="000000" w:themeColor="text1"/>
          <w:sz w:val="20"/>
        </w:rPr>
      </w:pPr>
    </w:p>
    <w:p w:rsidR="00DC67A9" w:rsidRDefault="000D3D9E" w:rsidP="00DC67A9">
      <w:pPr>
        <w:spacing w:line="360" w:lineRule="auto"/>
        <w:jc w:val="center"/>
        <w:rPr>
          <w:b/>
          <w:color w:val="000000" w:themeColor="text1"/>
        </w:rPr>
      </w:pPr>
      <w:r w:rsidRPr="00366BF3">
        <w:rPr>
          <w:b/>
          <w:color w:val="000000" w:themeColor="text1"/>
        </w:rPr>
        <w:t xml:space="preserve">Annexe </w:t>
      </w:r>
      <w:r w:rsidR="00033BEB" w:rsidRPr="00366BF3">
        <w:rPr>
          <w:b/>
          <w:color w:val="000000" w:themeColor="text1"/>
        </w:rPr>
        <w:t>4</w:t>
      </w:r>
      <w:r w:rsidR="002727BB">
        <w:rPr>
          <w:b/>
          <w:color w:val="000000" w:themeColor="text1"/>
        </w:rPr>
        <w:t xml:space="preserve"> </w:t>
      </w:r>
    </w:p>
    <w:p w:rsidR="000D3D9E" w:rsidRPr="00366BF3" w:rsidRDefault="000D3D9E" w:rsidP="00DC67A9">
      <w:pPr>
        <w:spacing w:line="360" w:lineRule="auto"/>
        <w:jc w:val="center"/>
        <w:rPr>
          <w:b/>
          <w:color w:val="000000" w:themeColor="text1"/>
        </w:rPr>
      </w:pPr>
      <w:r w:rsidRPr="00366BF3">
        <w:rPr>
          <w:b/>
          <w:color w:val="000000" w:themeColor="text1"/>
        </w:rPr>
        <w:t>Profil des industriels interrogés</w:t>
      </w:r>
    </w:p>
    <w:p w:rsidR="002727BB" w:rsidRPr="008C6CEA" w:rsidRDefault="002727BB" w:rsidP="002727BB">
      <w:pPr>
        <w:rPr>
          <w:color w:val="000000" w:themeColor="text1"/>
        </w:rPr>
      </w:pPr>
      <w:r w:rsidRPr="008C6CEA">
        <w:rPr>
          <w:noProof/>
          <w:color w:val="000000" w:themeColor="text1"/>
        </w:rPr>
        <w:drawing>
          <wp:anchor distT="0" distB="0" distL="114300" distR="114300" simplePos="0" relativeHeight="251665408" behindDoc="1" locked="0" layoutInCell="1" allowOverlap="1" wp14:anchorId="1574523E" wp14:editId="2A83CFCB">
            <wp:simplePos x="0" y="0"/>
            <wp:positionH relativeFrom="margin">
              <wp:posOffset>3488690</wp:posOffset>
            </wp:positionH>
            <wp:positionV relativeFrom="paragraph">
              <wp:posOffset>12700</wp:posOffset>
            </wp:positionV>
            <wp:extent cx="2796540" cy="1226820"/>
            <wp:effectExtent l="0" t="0" r="0" b="0"/>
            <wp:wrapTight wrapText="bothSides">
              <wp:wrapPolygon edited="0">
                <wp:start x="2060" y="0"/>
                <wp:lineTo x="883" y="671"/>
                <wp:lineTo x="1471" y="2348"/>
                <wp:lineTo x="10741" y="6037"/>
                <wp:lineTo x="6327" y="6037"/>
                <wp:lineTo x="0" y="9391"/>
                <wp:lineTo x="0" y="16770"/>
                <wp:lineTo x="6474" y="16770"/>
                <wp:lineTo x="147" y="18112"/>
                <wp:lineTo x="147" y="19789"/>
                <wp:lineTo x="6180" y="20460"/>
                <wp:lineTo x="18245" y="20460"/>
                <wp:lineTo x="19275" y="19789"/>
                <wp:lineTo x="19275" y="18112"/>
                <wp:lineTo x="18392" y="16770"/>
                <wp:lineTo x="19864" y="16770"/>
                <wp:lineTo x="21335" y="14087"/>
                <wp:lineTo x="21335" y="7714"/>
                <wp:lineTo x="18392" y="6037"/>
                <wp:lineTo x="12948" y="6037"/>
                <wp:lineTo x="19864" y="2012"/>
                <wp:lineTo x="19717" y="0"/>
                <wp:lineTo x="206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46010" b="8771"/>
                    <a:stretch/>
                  </pic:blipFill>
                  <pic:spPr bwMode="auto">
                    <a:xfrm>
                      <a:off x="0" y="0"/>
                      <a:ext cx="2796540" cy="1226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C6CEA">
        <w:rPr>
          <w:rFonts w:ascii="Calibri" w:hAnsi="Calibri" w:cs="Calibri"/>
          <w:b/>
          <w:bCs/>
          <w:noProof/>
          <w:color w:val="000000" w:themeColor="text1"/>
        </w:rPr>
        <w:drawing>
          <wp:anchor distT="0" distB="0" distL="114300" distR="114300" simplePos="0" relativeHeight="251667456" behindDoc="1" locked="0" layoutInCell="1" allowOverlap="1" wp14:anchorId="3A326F87" wp14:editId="3BED4F88">
            <wp:simplePos x="0" y="0"/>
            <wp:positionH relativeFrom="margin">
              <wp:align>left</wp:align>
            </wp:positionH>
            <wp:positionV relativeFrom="paragraph">
              <wp:posOffset>31750</wp:posOffset>
            </wp:positionV>
            <wp:extent cx="3114675" cy="2305685"/>
            <wp:effectExtent l="0" t="0" r="0" b="0"/>
            <wp:wrapTight wrapText="bothSides">
              <wp:wrapPolygon edited="0">
                <wp:start x="2774" y="0"/>
                <wp:lineTo x="0" y="3034"/>
                <wp:lineTo x="0" y="20880"/>
                <wp:lineTo x="13739" y="21416"/>
                <wp:lineTo x="14268" y="21416"/>
                <wp:lineTo x="17835" y="21059"/>
                <wp:lineTo x="19288" y="20702"/>
                <wp:lineTo x="21270" y="19631"/>
                <wp:lineTo x="21138" y="19096"/>
                <wp:lineTo x="18495" y="17311"/>
                <wp:lineTo x="18892" y="15526"/>
                <wp:lineTo x="21270" y="14277"/>
                <wp:lineTo x="18363" y="11600"/>
                <wp:lineTo x="21270" y="10708"/>
                <wp:lineTo x="20873" y="9637"/>
                <wp:lineTo x="14268" y="8745"/>
                <wp:lineTo x="20477" y="8566"/>
                <wp:lineTo x="21138" y="6603"/>
                <wp:lineTo x="18892" y="5889"/>
                <wp:lineTo x="21402" y="2855"/>
                <wp:lineTo x="19817" y="1963"/>
                <wp:lineTo x="15721" y="0"/>
                <wp:lineTo x="2774"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45945" b="6125"/>
                    <a:stretch/>
                  </pic:blipFill>
                  <pic:spPr bwMode="auto">
                    <a:xfrm>
                      <a:off x="0" y="0"/>
                      <a:ext cx="3114675" cy="2305685"/>
                    </a:xfrm>
                    <a:prstGeom prst="rect">
                      <a:avLst/>
                    </a:prstGeom>
                    <a:noFill/>
                    <a:ln>
                      <a:noFill/>
                    </a:ln>
                    <a:extLst>
                      <a:ext uri="{53640926-AAD7-44D8-BBD7-CCE9431645EC}">
                        <a14:shadowObscured xmlns:a14="http://schemas.microsoft.com/office/drawing/2010/main"/>
                      </a:ext>
                    </a:extLst>
                  </pic:spPr>
                </pic:pic>
              </a:graphicData>
            </a:graphic>
          </wp:anchor>
        </w:drawing>
      </w:r>
    </w:p>
    <w:p w:rsidR="002727BB" w:rsidRPr="008C6CEA" w:rsidRDefault="002727BB" w:rsidP="002727BB">
      <w:pPr>
        <w:rPr>
          <w:color w:val="000000" w:themeColor="text1"/>
        </w:rPr>
      </w:pPr>
    </w:p>
    <w:p w:rsidR="002727BB" w:rsidRPr="008C6CEA" w:rsidRDefault="002727BB" w:rsidP="002727BB">
      <w:pPr>
        <w:rPr>
          <w:color w:val="000000" w:themeColor="text1"/>
        </w:rPr>
      </w:pPr>
    </w:p>
    <w:p w:rsidR="002727BB" w:rsidRPr="008C6CEA" w:rsidRDefault="002727BB" w:rsidP="002727BB">
      <w:pPr>
        <w:rPr>
          <w:b/>
          <w:color w:val="000000" w:themeColor="text1"/>
          <w:sz w:val="20"/>
        </w:rPr>
      </w:pPr>
    </w:p>
    <w:p w:rsidR="002727BB" w:rsidRPr="008C6CEA" w:rsidRDefault="002727BB" w:rsidP="002727BB">
      <w:pPr>
        <w:rPr>
          <w:b/>
          <w:color w:val="000000" w:themeColor="text1"/>
          <w:sz w:val="20"/>
        </w:rPr>
      </w:pPr>
    </w:p>
    <w:p w:rsidR="002727BB" w:rsidRPr="008C6CEA" w:rsidRDefault="00DC67A9" w:rsidP="002727BB">
      <w:pPr>
        <w:rPr>
          <w:b/>
          <w:color w:val="000000" w:themeColor="text1"/>
          <w:sz w:val="20"/>
        </w:rPr>
      </w:pPr>
      <w:r w:rsidRPr="008C6CEA">
        <w:rPr>
          <w:noProof/>
          <w:color w:val="000000" w:themeColor="text1"/>
        </w:rPr>
        <w:drawing>
          <wp:anchor distT="0" distB="0" distL="114300" distR="114300" simplePos="0" relativeHeight="251666432" behindDoc="1" locked="0" layoutInCell="1" allowOverlap="1" wp14:anchorId="1A10E4CF" wp14:editId="152688DB">
            <wp:simplePos x="0" y="0"/>
            <wp:positionH relativeFrom="margin">
              <wp:posOffset>3727450</wp:posOffset>
            </wp:positionH>
            <wp:positionV relativeFrom="paragraph">
              <wp:posOffset>383540</wp:posOffset>
            </wp:positionV>
            <wp:extent cx="2420620" cy="1104265"/>
            <wp:effectExtent l="0" t="0" r="0" b="0"/>
            <wp:wrapTight wrapText="bothSides">
              <wp:wrapPolygon edited="0">
                <wp:start x="3910" y="0"/>
                <wp:lineTo x="0" y="2608"/>
                <wp:lineTo x="0" y="3354"/>
                <wp:lineTo x="10709" y="6707"/>
                <wp:lineTo x="680" y="7453"/>
                <wp:lineTo x="0" y="7825"/>
                <wp:lineTo x="170" y="17886"/>
                <wp:lineTo x="510" y="18631"/>
                <wp:lineTo x="2720" y="19749"/>
                <wp:lineTo x="3740" y="19749"/>
                <wp:lineTo x="16319" y="19004"/>
                <wp:lineTo x="17509" y="18631"/>
                <wp:lineTo x="18189" y="16396"/>
                <wp:lineTo x="18359" y="8198"/>
                <wp:lineTo x="20399" y="6335"/>
                <wp:lineTo x="20739" y="1863"/>
                <wp:lineTo x="14959" y="0"/>
                <wp:lineTo x="391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61181" b="10896"/>
                    <a:stretch/>
                  </pic:blipFill>
                  <pic:spPr bwMode="auto">
                    <a:xfrm>
                      <a:off x="0" y="0"/>
                      <a:ext cx="2420620" cy="1104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727BB" w:rsidRPr="008C6CEA" w:rsidRDefault="002727BB" w:rsidP="002727BB">
      <w:pPr>
        <w:rPr>
          <w:b/>
          <w:color w:val="000000" w:themeColor="text1"/>
          <w:sz w:val="20"/>
        </w:rPr>
      </w:pPr>
    </w:p>
    <w:p w:rsidR="002727BB" w:rsidRPr="008C6CEA" w:rsidRDefault="002727BB" w:rsidP="002727BB">
      <w:pPr>
        <w:rPr>
          <w:color w:val="000000" w:themeColor="text1"/>
        </w:rPr>
      </w:pPr>
    </w:p>
    <w:p w:rsidR="002727BB" w:rsidRPr="008C6CEA" w:rsidRDefault="002727BB" w:rsidP="002727BB">
      <w:pPr>
        <w:rPr>
          <w:color w:val="000000" w:themeColor="text1"/>
        </w:rPr>
      </w:pPr>
    </w:p>
    <w:p w:rsidR="002727BB" w:rsidRPr="008C6CEA" w:rsidRDefault="002727BB" w:rsidP="002727BB">
      <w:pPr>
        <w:tabs>
          <w:tab w:val="left" w:pos="1276"/>
          <w:tab w:val="left" w:pos="4882"/>
        </w:tabs>
        <w:ind w:left="70"/>
        <w:rPr>
          <w:b/>
          <w:bCs/>
          <w:color w:val="000000" w:themeColor="text1"/>
        </w:rPr>
      </w:pPr>
    </w:p>
    <w:p w:rsidR="002727BB" w:rsidRPr="008C6CEA" w:rsidRDefault="002727BB" w:rsidP="002727BB">
      <w:pPr>
        <w:tabs>
          <w:tab w:val="left" w:pos="1276"/>
          <w:tab w:val="left" w:pos="4882"/>
        </w:tabs>
        <w:ind w:left="70"/>
        <w:rPr>
          <w:b/>
          <w:bCs/>
          <w:color w:val="000000" w:themeColor="text1"/>
        </w:rPr>
      </w:pPr>
    </w:p>
    <w:p w:rsidR="002727BB" w:rsidRPr="008C6CEA" w:rsidRDefault="002727BB" w:rsidP="002727BB">
      <w:pPr>
        <w:tabs>
          <w:tab w:val="left" w:pos="1276"/>
          <w:tab w:val="left" w:pos="4882"/>
        </w:tabs>
        <w:ind w:left="70"/>
        <w:rPr>
          <w:b/>
          <w:bCs/>
          <w:color w:val="000000" w:themeColor="text1"/>
        </w:rPr>
      </w:pPr>
    </w:p>
    <w:p w:rsidR="002727BB" w:rsidRDefault="002727BB" w:rsidP="002727BB">
      <w:pPr>
        <w:tabs>
          <w:tab w:val="left" w:pos="1276"/>
          <w:tab w:val="left" w:pos="4882"/>
        </w:tabs>
        <w:ind w:left="70"/>
        <w:jc w:val="center"/>
        <w:rPr>
          <w:b/>
          <w:bCs/>
          <w:color w:val="000000" w:themeColor="text1"/>
        </w:rPr>
      </w:pPr>
    </w:p>
    <w:p w:rsidR="002727BB" w:rsidRPr="008C6CEA" w:rsidRDefault="002727BB" w:rsidP="002727BB">
      <w:pPr>
        <w:tabs>
          <w:tab w:val="left" w:pos="1276"/>
          <w:tab w:val="left" w:pos="4882"/>
        </w:tabs>
        <w:ind w:left="70"/>
        <w:jc w:val="center"/>
        <w:rPr>
          <w:b/>
          <w:bCs/>
          <w:color w:val="000000" w:themeColor="text1"/>
        </w:rPr>
      </w:pPr>
      <w:r w:rsidRPr="008C6CEA">
        <w:rPr>
          <w:b/>
          <w:bCs/>
          <w:color w:val="000000" w:themeColor="text1"/>
        </w:rPr>
        <w:t>Profil des PSL</w:t>
      </w:r>
    </w:p>
    <w:p w:rsidR="00DC67A9" w:rsidRDefault="00DC67A9" w:rsidP="002727BB">
      <w:pPr>
        <w:tabs>
          <w:tab w:val="left" w:pos="1276"/>
          <w:tab w:val="left" w:pos="4882"/>
        </w:tabs>
        <w:ind w:left="70"/>
        <w:rPr>
          <w:b/>
          <w:bCs/>
          <w:color w:val="000000" w:themeColor="text1"/>
        </w:rPr>
      </w:pPr>
    </w:p>
    <w:p w:rsidR="002727BB" w:rsidRPr="008C6CEA" w:rsidRDefault="002727BB" w:rsidP="002727BB">
      <w:pPr>
        <w:tabs>
          <w:tab w:val="left" w:pos="1276"/>
          <w:tab w:val="left" w:pos="4882"/>
        </w:tabs>
        <w:ind w:left="70"/>
        <w:rPr>
          <w:b/>
          <w:bCs/>
          <w:color w:val="000000" w:themeColor="text1"/>
        </w:rPr>
      </w:pPr>
      <w:r w:rsidRPr="008C6CEA">
        <w:rPr>
          <w:noProof/>
          <w:color w:val="000000" w:themeColor="text1"/>
        </w:rPr>
        <w:drawing>
          <wp:anchor distT="0" distB="0" distL="114300" distR="114300" simplePos="0" relativeHeight="251668480" behindDoc="1" locked="0" layoutInCell="1" allowOverlap="1" wp14:anchorId="025D011F" wp14:editId="4500A148">
            <wp:simplePos x="0" y="0"/>
            <wp:positionH relativeFrom="column">
              <wp:posOffset>3722581</wp:posOffset>
            </wp:positionH>
            <wp:positionV relativeFrom="paragraph">
              <wp:posOffset>2540</wp:posOffset>
            </wp:positionV>
            <wp:extent cx="2341245" cy="1315720"/>
            <wp:effectExtent l="0" t="0" r="0" b="0"/>
            <wp:wrapTight wrapText="bothSides">
              <wp:wrapPolygon edited="0">
                <wp:start x="0" y="0"/>
                <wp:lineTo x="0" y="3127"/>
                <wp:lineTo x="10545" y="5317"/>
                <wp:lineTo x="0" y="5942"/>
                <wp:lineTo x="0" y="19703"/>
                <wp:lineTo x="1230" y="20015"/>
                <wp:lineTo x="15290" y="20641"/>
                <wp:lineTo x="16169" y="20641"/>
                <wp:lineTo x="16697" y="20015"/>
                <wp:lineTo x="16697" y="17514"/>
                <wp:lineTo x="16345" y="15324"/>
                <wp:lineTo x="19860" y="13761"/>
                <wp:lineTo x="18981" y="10320"/>
                <wp:lineTo x="10721" y="10320"/>
                <wp:lineTo x="16872" y="9069"/>
                <wp:lineTo x="19860" y="6255"/>
                <wp:lineTo x="19860" y="5317"/>
                <wp:lineTo x="21090" y="1876"/>
                <wp:lineTo x="20915"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r="59354" b="9910"/>
                    <a:stretch/>
                  </pic:blipFill>
                  <pic:spPr bwMode="auto">
                    <a:xfrm>
                      <a:off x="0" y="0"/>
                      <a:ext cx="2341245" cy="1315720"/>
                    </a:xfrm>
                    <a:prstGeom prst="rect">
                      <a:avLst/>
                    </a:prstGeom>
                    <a:noFill/>
                    <a:ln>
                      <a:noFill/>
                    </a:ln>
                    <a:extLst>
                      <a:ext uri="{53640926-AAD7-44D8-BBD7-CCE9431645EC}">
                        <a14:shadowObscured xmlns:a14="http://schemas.microsoft.com/office/drawing/2010/main"/>
                      </a:ext>
                    </a:extLst>
                  </pic:spPr>
                </pic:pic>
              </a:graphicData>
            </a:graphic>
          </wp:anchor>
        </w:drawing>
      </w:r>
    </w:p>
    <w:p w:rsidR="002727BB" w:rsidRPr="008C6CEA" w:rsidRDefault="002727BB" w:rsidP="002727BB">
      <w:pPr>
        <w:tabs>
          <w:tab w:val="left" w:pos="1276"/>
          <w:tab w:val="left" w:pos="4882"/>
        </w:tabs>
        <w:ind w:left="70"/>
        <w:rPr>
          <w:b/>
          <w:bCs/>
          <w:color w:val="000000" w:themeColor="text1"/>
        </w:rPr>
      </w:pPr>
      <w:r w:rsidRPr="008C6CEA">
        <w:rPr>
          <w:noProof/>
          <w:color w:val="000000" w:themeColor="text1"/>
        </w:rPr>
        <w:drawing>
          <wp:inline distT="0" distB="0" distL="0" distR="0" wp14:anchorId="443828A4" wp14:editId="397BF21F">
            <wp:extent cx="2843684" cy="907308"/>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r="43124" b="11414"/>
                    <a:stretch/>
                  </pic:blipFill>
                  <pic:spPr bwMode="auto">
                    <a:xfrm>
                      <a:off x="0" y="0"/>
                      <a:ext cx="2859913" cy="912486"/>
                    </a:xfrm>
                    <a:prstGeom prst="rect">
                      <a:avLst/>
                    </a:prstGeom>
                    <a:noFill/>
                    <a:ln>
                      <a:noFill/>
                    </a:ln>
                    <a:extLst>
                      <a:ext uri="{53640926-AAD7-44D8-BBD7-CCE9431645EC}">
                        <a14:shadowObscured xmlns:a14="http://schemas.microsoft.com/office/drawing/2010/main"/>
                      </a:ext>
                    </a:extLst>
                  </pic:spPr>
                </pic:pic>
              </a:graphicData>
            </a:graphic>
          </wp:inline>
        </w:drawing>
      </w:r>
    </w:p>
    <w:p w:rsidR="002727BB" w:rsidRPr="008C6CEA" w:rsidRDefault="002727BB" w:rsidP="002727BB">
      <w:pPr>
        <w:rPr>
          <w:color w:val="000000" w:themeColor="text1"/>
        </w:rPr>
      </w:pPr>
    </w:p>
    <w:p w:rsidR="00FB6A23" w:rsidRPr="00366BF3" w:rsidRDefault="00FB6A23" w:rsidP="000F5D8B">
      <w:pPr>
        <w:tabs>
          <w:tab w:val="left" w:pos="1276"/>
          <w:tab w:val="left" w:pos="4882"/>
        </w:tabs>
        <w:spacing w:line="360" w:lineRule="auto"/>
        <w:ind w:left="70"/>
        <w:rPr>
          <w:b/>
          <w:bCs/>
          <w:color w:val="000000" w:themeColor="text1"/>
        </w:rPr>
      </w:pPr>
    </w:p>
    <w:p w:rsidR="002727BB" w:rsidRDefault="002727BB">
      <w:pPr>
        <w:spacing w:after="160" w:line="259" w:lineRule="auto"/>
        <w:rPr>
          <w:b/>
          <w:color w:val="000000" w:themeColor="text1"/>
          <w:szCs w:val="24"/>
        </w:rPr>
      </w:pPr>
      <w:r>
        <w:rPr>
          <w:b/>
          <w:color w:val="000000" w:themeColor="text1"/>
          <w:szCs w:val="24"/>
        </w:rPr>
        <w:br w:type="page"/>
      </w:r>
    </w:p>
    <w:p w:rsidR="00B62AF4" w:rsidRPr="00366BF3" w:rsidRDefault="00B62AF4" w:rsidP="000F5D8B">
      <w:pPr>
        <w:spacing w:line="360" w:lineRule="auto"/>
        <w:jc w:val="center"/>
        <w:rPr>
          <w:b/>
          <w:color w:val="000000" w:themeColor="text1"/>
          <w:szCs w:val="24"/>
        </w:rPr>
      </w:pPr>
      <w:r w:rsidRPr="00366BF3">
        <w:rPr>
          <w:b/>
          <w:color w:val="000000" w:themeColor="text1"/>
          <w:szCs w:val="24"/>
        </w:rPr>
        <w:lastRenderedPageBreak/>
        <w:t>Biographies auteurs</w:t>
      </w:r>
    </w:p>
    <w:p w:rsidR="00B62AF4" w:rsidRPr="00366BF3" w:rsidRDefault="00B62AF4" w:rsidP="000F5D8B">
      <w:pPr>
        <w:pStyle w:val="Paragraphedeliste"/>
        <w:numPr>
          <w:ilvl w:val="0"/>
          <w:numId w:val="12"/>
        </w:numPr>
        <w:spacing w:after="200" w:line="360" w:lineRule="auto"/>
        <w:ind w:left="426"/>
        <w:jc w:val="both"/>
        <w:rPr>
          <w:color w:val="000000" w:themeColor="text1"/>
          <w:szCs w:val="24"/>
          <w:shd w:val="clear" w:color="auto" w:fill="FFFFFF"/>
        </w:rPr>
      </w:pPr>
      <w:r w:rsidRPr="00366BF3">
        <w:rPr>
          <w:b/>
          <w:color w:val="000000" w:themeColor="text1"/>
          <w:szCs w:val="24"/>
          <w:shd w:val="clear" w:color="auto" w:fill="FFFFFF"/>
        </w:rPr>
        <w:t>Olivier MEVEL</w:t>
      </w:r>
      <w:r w:rsidRPr="00366BF3">
        <w:rPr>
          <w:color w:val="000000" w:themeColor="text1"/>
          <w:szCs w:val="24"/>
          <w:shd w:val="clear" w:color="auto" w:fill="FFFFFF"/>
        </w:rPr>
        <w:t>, Maître de Conférences-HDR en Sciences de Gestion à l'université de Bretagne Occidentale, est l'auteur de nombreux articles dans le domaine de la logistique, du management opérationnel des services ainsi que des relations Industrie-Commerce. Ses travaux s'intéressent tout particulièrement au partage de la valeur ajoutée au sein des chaînes logistiques et de distribution multi-acteurs.</w:t>
      </w:r>
    </w:p>
    <w:p w:rsidR="00B62AF4" w:rsidRPr="00366BF3" w:rsidRDefault="00B62AF4" w:rsidP="000F5D8B">
      <w:pPr>
        <w:pStyle w:val="Paragraphedeliste"/>
        <w:spacing w:line="360" w:lineRule="auto"/>
        <w:ind w:left="426"/>
        <w:jc w:val="both"/>
        <w:rPr>
          <w:color w:val="000000" w:themeColor="text1"/>
          <w:szCs w:val="24"/>
          <w:shd w:val="clear" w:color="auto" w:fill="FFFFFF"/>
        </w:rPr>
      </w:pPr>
    </w:p>
    <w:p w:rsidR="00B62AF4" w:rsidRPr="00366BF3" w:rsidRDefault="00B62AF4" w:rsidP="000F5D8B">
      <w:pPr>
        <w:pStyle w:val="Paragraphedeliste"/>
        <w:numPr>
          <w:ilvl w:val="0"/>
          <w:numId w:val="12"/>
        </w:numPr>
        <w:spacing w:after="200" w:line="360" w:lineRule="auto"/>
        <w:ind w:left="426"/>
        <w:jc w:val="both"/>
        <w:rPr>
          <w:rFonts w:ascii="Arial" w:hAnsi="Arial" w:cs="Arial"/>
          <w:color w:val="000000" w:themeColor="text1"/>
          <w:shd w:val="clear" w:color="auto" w:fill="FFFFFF"/>
        </w:rPr>
      </w:pPr>
      <w:r w:rsidRPr="00366BF3">
        <w:rPr>
          <w:b/>
          <w:color w:val="000000" w:themeColor="text1"/>
          <w:szCs w:val="24"/>
          <w:shd w:val="clear" w:color="auto" w:fill="FFFFFF"/>
        </w:rPr>
        <w:t>Thierry Morvan</w:t>
      </w:r>
      <w:r w:rsidRPr="00366BF3">
        <w:rPr>
          <w:color w:val="000000" w:themeColor="text1"/>
          <w:szCs w:val="24"/>
          <w:shd w:val="clear" w:color="auto" w:fill="FFFFFF"/>
        </w:rPr>
        <w:t>, Maitre de conférences en Sciences de Gestion à l’Université de Rennes1, est l’auteur d’articles dans le domaine de la logistique. Ses travaux concernent plus spécifiquement les Prestataires de Services logistiques au sein des chaînes logistiques multi-acteurs.</w:t>
      </w:r>
    </w:p>
    <w:p w:rsidR="00B62AF4" w:rsidRPr="00366BF3" w:rsidRDefault="00B62AF4" w:rsidP="000F5D8B">
      <w:pPr>
        <w:spacing w:line="360" w:lineRule="auto"/>
        <w:rPr>
          <w:color w:val="000000" w:themeColor="text1"/>
          <w:szCs w:val="24"/>
          <w:shd w:val="clear" w:color="auto" w:fill="FFFFFF"/>
        </w:rPr>
      </w:pPr>
    </w:p>
    <w:p w:rsidR="00B31BA0" w:rsidRPr="004E42C9" w:rsidRDefault="00B62AF4" w:rsidP="007E1D5A">
      <w:pPr>
        <w:pStyle w:val="Paragraphedeliste"/>
        <w:numPr>
          <w:ilvl w:val="0"/>
          <w:numId w:val="12"/>
        </w:numPr>
        <w:spacing w:after="200" w:line="360" w:lineRule="auto"/>
        <w:ind w:left="426"/>
        <w:jc w:val="both"/>
        <w:rPr>
          <w:color w:val="000000" w:themeColor="text1"/>
        </w:rPr>
      </w:pPr>
      <w:r w:rsidRPr="004E42C9">
        <w:rPr>
          <w:b/>
          <w:color w:val="000000" w:themeColor="text1"/>
          <w:szCs w:val="24"/>
          <w:shd w:val="clear" w:color="auto" w:fill="FFFFFF"/>
        </w:rPr>
        <w:t>Nélida Morvan</w:t>
      </w:r>
      <w:r w:rsidRPr="004E42C9">
        <w:rPr>
          <w:color w:val="000000" w:themeColor="text1"/>
          <w:szCs w:val="24"/>
          <w:shd w:val="clear" w:color="auto" w:fill="FFFFFF"/>
        </w:rPr>
        <w:t>, Maitre de conférences en Sciences de Gestion à l’Université de Rennes1 est l’auteur d’articles dans le domaine de la logistique et du marketing. Ses travaux portent sur la perception de la qualité du service par le client et sur les relations entre le marketing et la logistique.</w:t>
      </w:r>
    </w:p>
    <w:sectPr w:rsidR="00B31BA0" w:rsidRPr="004E42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EAC" w:rsidRDefault="00750EAC" w:rsidP="0076605D">
      <w:r>
        <w:separator/>
      </w:r>
    </w:p>
  </w:endnote>
  <w:endnote w:type="continuationSeparator" w:id="0">
    <w:p w:rsidR="00750EAC" w:rsidRDefault="00750EAC" w:rsidP="0076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061523"/>
      <w:docPartObj>
        <w:docPartGallery w:val="Page Numbers (Bottom of Page)"/>
        <w:docPartUnique/>
      </w:docPartObj>
    </w:sdtPr>
    <w:sdtEndPr/>
    <w:sdtContent>
      <w:p w:rsidR="007E1D5A" w:rsidRDefault="007E1D5A">
        <w:pPr>
          <w:pStyle w:val="Pieddepage"/>
          <w:jc w:val="right"/>
        </w:pPr>
        <w:r>
          <w:fldChar w:fldCharType="begin"/>
        </w:r>
        <w:r>
          <w:instrText>PAGE   \* MERGEFORMAT</w:instrText>
        </w:r>
        <w:r>
          <w:fldChar w:fldCharType="separate"/>
        </w:r>
        <w:r w:rsidR="00EF6D89">
          <w:rPr>
            <w:noProof/>
          </w:rPr>
          <w:t>1</w:t>
        </w:r>
        <w:r>
          <w:fldChar w:fldCharType="end"/>
        </w:r>
      </w:p>
    </w:sdtContent>
  </w:sdt>
  <w:p w:rsidR="007E1D5A" w:rsidRDefault="007E1D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EAC" w:rsidRDefault="00750EAC" w:rsidP="0076605D">
      <w:r>
        <w:separator/>
      </w:r>
    </w:p>
  </w:footnote>
  <w:footnote w:type="continuationSeparator" w:id="0">
    <w:p w:rsidR="00750EAC" w:rsidRDefault="00750EAC" w:rsidP="0076605D">
      <w:r>
        <w:continuationSeparator/>
      </w:r>
    </w:p>
  </w:footnote>
  <w:footnote w:id="1">
    <w:p w:rsidR="007E1D5A" w:rsidRDefault="007E1D5A" w:rsidP="00A85F0B">
      <w:pPr>
        <w:pStyle w:val="Notedebasdepage"/>
      </w:pPr>
      <w:r>
        <w:rPr>
          <w:rStyle w:val="Appelnotedebasdep"/>
        </w:rPr>
        <w:footnoteRef/>
      </w:r>
      <w:r>
        <w:t xml:space="preserve"> Le mix-logistique : coût de transports, coûts d’entreposage, coût de production défini par unité élémentaire d’approvisionnement, coût de traitement de la commande, coût de stockage.</w:t>
      </w:r>
    </w:p>
  </w:footnote>
  <w:footnote w:id="2">
    <w:p w:rsidR="007E1D5A" w:rsidRPr="00366BF3" w:rsidRDefault="007E1D5A">
      <w:pPr>
        <w:pStyle w:val="Notedebasdepage"/>
        <w:rPr>
          <w:color w:val="000000" w:themeColor="text1"/>
        </w:rPr>
      </w:pPr>
      <w:r w:rsidRPr="00366BF3">
        <w:rPr>
          <w:rStyle w:val="Appelnotedebasdep"/>
          <w:color w:val="000000" w:themeColor="text1"/>
        </w:rPr>
        <w:footnoteRef/>
      </w:r>
      <w:r w:rsidRPr="00366BF3">
        <w:rPr>
          <w:color w:val="000000" w:themeColor="text1"/>
        </w:rPr>
        <w:t xml:space="preserve"> VAC = somme des notes pondérées de chaque source de VAC. Elle correspond à la qualité de service perçue</w:t>
      </w:r>
    </w:p>
  </w:footnote>
  <w:footnote w:id="3">
    <w:p w:rsidR="007E1D5A" w:rsidRPr="00366BF3" w:rsidRDefault="007E1D5A" w:rsidP="00711D2E">
      <w:pPr>
        <w:pStyle w:val="Notedebasdepage"/>
        <w:rPr>
          <w:color w:val="000000" w:themeColor="text1"/>
        </w:rPr>
      </w:pPr>
      <w:r w:rsidRPr="00366BF3">
        <w:rPr>
          <w:rStyle w:val="Appelnotedebasdep"/>
          <w:color w:val="000000" w:themeColor="text1"/>
        </w:rPr>
        <w:footnoteRef/>
      </w:r>
      <w:r w:rsidRPr="00366BF3">
        <w:rPr>
          <w:color w:val="000000" w:themeColor="text1"/>
        </w:rPr>
        <w:t xml:space="preserve"> </w:t>
      </w:r>
      <w:r w:rsidRPr="00366BF3">
        <w:rPr>
          <w:color w:val="000000" w:themeColor="text1"/>
          <w:shd w:val="clear" w:color="auto" w:fill="FFFFFF"/>
        </w:rPr>
        <w:t>Pour chaque source de VAC : poids moyen de la source de VAC x note moyenne obtenue</w:t>
      </w:r>
    </w:p>
  </w:footnote>
  <w:footnote w:id="4">
    <w:p w:rsidR="007E1D5A" w:rsidRDefault="007E1D5A" w:rsidP="00C5475A">
      <w:pPr>
        <w:pStyle w:val="Notedebasdepage"/>
      </w:pPr>
      <w:r>
        <w:rPr>
          <w:rStyle w:val="Appelnotedebasdep"/>
        </w:rPr>
        <w:footnoteRef/>
      </w:r>
      <w:r>
        <w:t xml:space="preserve"> Au sein de notre échantillon 31% des industriels interrogés collaborent depuis plus de 20 ans avec le même PSL principal.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D19"/>
    <w:multiLevelType w:val="hybridMultilevel"/>
    <w:tmpl w:val="50A09358"/>
    <w:lvl w:ilvl="0" w:tplc="27B80FFA">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C159FC"/>
    <w:multiLevelType w:val="hybridMultilevel"/>
    <w:tmpl w:val="BF40778A"/>
    <w:lvl w:ilvl="0" w:tplc="A5043676">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B94C28"/>
    <w:multiLevelType w:val="hybridMultilevel"/>
    <w:tmpl w:val="9A04FD3E"/>
    <w:lvl w:ilvl="0" w:tplc="DADE0014">
      <w:start w:val="1"/>
      <w:numFmt w:val="bullet"/>
      <w:lvlText w:val="•"/>
      <w:lvlJc w:val="left"/>
      <w:pPr>
        <w:tabs>
          <w:tab w:val="num" w:pos="720"/>
        </w:tabs>
        <w:ind w:left="720" w:hanging="360"/>
      </w:pPr>
      <w:rPr>
        <w:rFonts w:ascii="Arial" w:hAnsi="Arial" w:hint="default"/>
      </w:rPr>
    </w:lvl>
    <w:lvl w:ilvl="1" w:tplc="43ACA612" w:tentative="1">
      <w:start w:val="1"/>
      <w:numFmt w:val="bullet"/>
      <w:lvlText w:val="•"/>
      <w:lvlJc w:val="left"/>
      <w:pPr>
        <w:tabs>
          <w:tab w:val="num" w:pos="1440"/>
        </w:tabs>
        <w:ind w:left="1440" w:hanging="360"/>
      </w:pPr>
      <w:rPr>
        <w:rFonts w:ascii="Arial" w:hAnsi="Arial" w:hint="default"/>
      </w:rPr>
    </w:lvl>
    <w:lvl w:ilvl="2" w:tplc="937443E0" w:tentative="1">
      <w:start w:val="1"/>
      <w:numFmt w:val="bullet"/>
      <w:lvlText w:val="•"/>
      <w:lvlJc w:val="left"/>
      <w:pPr>
        <w:tabs>
          <w:tab w:val="num" w:pos="2160"/>
        </w:tabs>
        <w:ind w:left="2160" w:hanging="360"/>
      </w:pPr>
      <w:rPr>
        <w:rFonts w:ascii="Arial" w:hAnsi="Arial" w:hint="default"/>
      </w:rPr>
    </w:lvl>
    <w:lvl w:ilvl="3" w:tplc="6AC482EA" w:tentative="1">
      <w:start w:val="1"/>
      <w:numFmt w:val="bullet"/>
      <w:lvlText w:val="•"/>
      <w:lvlJc w:val="left"/>
      <w:pPr>
        <w:tabs>
          <w:tab w:val="num" w:pos="2880"/>
        </w:tabs>
        <w:ind w:left="2880" w:hanging="360"/>
      </w:pPr>
      <w:rPr>
        <w:rFonts w:ascii="Arial" w:hAnsi="Arial" w:hint="default"/>
      </w:rPr>
    </w:lvl>
    <w:lvl w:ilvl="4" w:tplc="E88023B4" w:tentative="1">
      <w:start w:val="1"/>
      <w:numFmt w:val="bullet"/>
      <w:lvlText w:val="•"/>
      <w:lvlJc w:val="left"/>
      <w:pPr>
        <w:tabs>
          <w:tab w:val="num" w:pos="3600"/>
        </w:tabs>
        <w:ind w:left="3600" w:hanging="360"/>
      </w:pPr>
      <w:rPr>
        <w:rFonts w:ascii="Arial" w:hAnsi="Arial" w:hint="default"/>
      </w:rPr>
    </w:lvl>
    <w:lvl w:ilvl="5" w:tplc="023CF2E4" w:tentative="1">
      <w:start w:val="1"/>
      <w:numFmt w:val="bullet"/>
      <w:lvlText w:val="•"/>
      <w:lvlJc w:val="left"/>
      <w:pPr>
        <w:tabs>
          <w:tab w:val="num" w:pos="4320"/>
        </w:tabs>
        <w:ind w:left="4320" w:hanging="360"/>
      </w:pPr>
      <w:rPr>
        <w:rFonts w:ascii="Arial" w:hAnsi="Arial" w:hint="default"/>
      </w:rPr>
    </w:lvl>
    <w:lvl w:ilvl="6" w:tplc="BD5262B2" w:tentative="1">
      <w:start w:val="1"/>
      <w:numFmt w:val="bullet"/>
      <w:lvlText w:val="•"/>
      <w:lvlJc w:val="left"/>
      <w:pPr>
        <w:tabs>
          <w:tab w:val="num" w:pos="5040"/>
        </w:tabs>
        <w:ind w:left="5040" w:hanging="360"/>
      </w:pPr>
      <w:rPr>
        <w:rFonts w:ascii="Arial" w:hAnsi="Arial" w:hint="default"/>
      </w:rPr>
    </w:lvl>
    <w:lvl w:ilvl="7" w:tplc="CFF44E4A" w:tentative="1">
      <w:start w:val="1"/>
      <w:numFmt w:val="bullet"/>
      <w:lvlText w:val="•"/>
      <w:lvlJc w:val="left"/>
      <w:pPr>
        <w:tabs>
          <w:tab w:val="num" w:pos="5760"/>
        </w:tabs>
        <w:ind w:left="5760" w:hanging="360"/>
      </w:pPr>
      <w:rPr>
        <w:rFonts w:ascii="Arial" w:hAnsi="Arial" w:hint="default"/>
      </w:rPr>
    </w:lvl>
    <w:lvl w:ilvl="8" w:tplc="EAECE45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0F3F90"/>
    <w:multiLevelType w:val="multilevel"/>
    <w:tmpl w:val="6128A870"/>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F9A0B28"/>
    <w:multiLevelType w:val="hybridMultilevel"/>
    <w:tmpl w:val="27381470"/>
    <w:lvl w:ilvl="0" w:tplc="7740734A">
      <w:numFmt w:val="bullet"/>
      <w:pStyle w:val="Listepuces2"/>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FE1E35"/>
    <w:multiLevelType w:val="hybridMultilevel"/>
    <w:tmpl w:val="09BCAB9C"/>
    <w:lvl w:ilvl="0" w:tplc="9B70969C">
      <w:start w:val="1"/>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D05649F"/>
    <w:multiLevelType w:val="hybridMultilevel"/>
    <w:tmpl w:val="757ED732"/>
    <w:lvl w:ilvl="0" w:tplc="20A025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4266D8"/>
    <w:multiLevelType w:val="hybridMultilevel"/>
    <w:tmpl w:val="6F7A1F68"/>
    <w:lvl w:ilvl="0" w:tplc="CE2279A0">
      <w:numFmt w:val="bullet"/>
      <w:lvlText w:val="-"/>
      <w:lvlJc w:val="left"/>
      <w:pPr>
        <w:ind w:left="720" w:hanging="360"/>
      </w:pPr>
      <w:rPr>
        <w:rFonts w:ascii="Times New Roman" w:eastAsia="Times New Roman" w:hAnsi="Times New Roman" w:cs="Times New Roman"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91045A"/>
    <w:multiLevelType w:val="hybridMultilevel"/>
    <w:tmpl w:val="F9248AAA"/>
    <w:lvl w:ilvl="0" w:tplc="9B1E576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F715AA"/>
    <w:multiLevelType w:val="multilevel"/>
    <w:tmpl w:val="A5BA538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A662B94"/>
    <w:multiLevelType w:val="hybridMultilevel"/>
    <w:tmpl w:val="0AD6164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74E0090B"/>
    <w:multiLevelType w:val="hybridMultilevel"/>
    <w:tmpl w:val="A6F6BA50"/>
    <w:lvl w:ilvl="0" w:tplc="79E4B1A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0"/>
  </w:num>
  <w:num w:numId="5">
    <w:abstractNumId w:val="7"/>
  </w:num>
  <w:num w:numId="6">
    <w:abstractNumId w:val="2"/>
  </w:num>
  <w:num w:numId="7">
    <w:abstractNumId w:val="4"/>
  </w:num>
  <w:num w:numId="8">
    <w:abstractNumId w:val="1"/>
  </w:num>
  <w:num w:numId="9">
    <w:abstractNumId w:val="5"/>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2A"/>
    <w:rsid w:val="00001D97"/>
    <w:rsid w:val="000057D7"/>
    <w:rsid w:val="0000775C"/>
    <w:rsid w:val="00011518"/>
    <w:rsid w:val="000120EE"/>
    <w:rsid w:val="00012180"/>
    <w:rsid w:val="00014851"/>
    <w:rsid w:val="00022890"/>
    <w:rsid w:val="00024454"/>
    <w:rsid w:val="000266E0"/>
    <w:rsid w:val="00033BEB"/>
    <w:rsid w:val="00033D7D"/>
    <w:rsid w:val="00036C5D"/>
    <w:rsid w:val="00041E54"/>
    <w:rsid w:val="000457D0"/>
    <w:rsid w:val="000471A7"/>
    <w:rsid w:val="000472B5"/>
    <w:rsid w:val="000607B8"/>
    <w:rsid w:val="00060800"/>
    <w:rsid w:val="00064CC4"/>
    <w:rsid w:val="0006501A"/>
    <w:rsid w:val="00070803"/>
    <w:rsid w:val="00074202"/>
    <w:rsid w:val="00074849"/>
    <w:rsid w:val="00077DC8"/>
    <w:rsid w:val="00086990"/>
    <w:rsid w:val="0008713A"/>
    <w:rsid w:val="00087FED"/>
    <w:rsid w:val="00092BF8"/>
    <w:rsid w:val="000A23C8"/>
    <w:rsid w:val="000A2D6F"/>
    <w:rsid w:val="000A3203"/>
    <w:rsid w:val="000B1315"/>
    <w:rsid w:val="000C13F1"/>
    <w:rsid w:val="000C3C46"/>
    <w:rsid w:val="000C5B04"/>
    <w:rsid w:val="000C5F53"/>
    <w:rsid w:val="000D3D9E"/>
    <w:rsid w:val="000D532D"/>
    <w:rsid w:val="000D6F43"/>
    <w:rsid w:val="000E7C81"/>
    <w:rsid w:val="000F5D8B"/>
    <w:rsid w:val="0010056C"/>
    <w:rsid w:val="001017BE"/>
    <w:rsid w:val="0011197A"/>
    <w:rsid w:val="001125AC"/>
    <w:rsid w:val="001139ED"/>
    <w:rsid w:val="001142D5"/>
    <w:rsid w:val="001154CB"/>
    <w:rsid w:val="0012081C"/>
    <w:rsid w:val="00121B98"/>
    <w:rsid w:val="00124A54"/>
    <w:rsid w:val="00131738"/>
    <w:rsid w:val="001360A1"/>
    <w:rsid w:val="001409C4"/>
    <w:rsid w:val="00141111"/>
    <w:rsid w:val="00141F12"/>
    <w:rsid w:val="00141F43"/>
    <w:rsid w:val="00142B1E"/>
    <w:rsid w:val="00143787"/>
    <w:rsid w:val="00143F2A"/>
    <w:rsid w:val="00146F90"/>
    <w:rsid w:val="001544E8"/>
    <w:rsid w:val="00154902"/>
    <w:rsid w:val="00155B1D"/>
    <w:rsid w:val="0015648A"/>
    <w:rsid w:val="00160C5E"/>
    <w:rsid w:val="00164C7C"/>
    <w:rsid w:val="00172E56"/>
    <w:rsid w:val="00177E77"/>
    <w:rsid w:val="0018238C"/>
    <w:rsid w:val="00182469"/>
    <w:rsid w:val="001863A1"/>
    <w:rsid w:val="00187EE0"/>
    <w:rsid w:val="00195D9A"/>
    <w:rsid w:val="001A3FDE"/>
    <w:rsid w:val="001A4CA3"/>
    <w:rsid w:val="001B15F7"/>
    <w:rsid w:val="001B21F0"/>
    <w:rsid w:val="001B3E92"/>
    <w:rsid w:val="001C46BD"/>
    <w:rsid w:val="001D50FD"/>
    <w:rsid w:val="001D64EF"/>
    <w:rsid w:val="001D77DD"/>
    <w:rsid w:val="001E0E55"/>
    <w:rsid w:val="001E3AA6"/>
    <w:rsid w:val="001E74E1"/>
    <w:rsid w:val="001F5B88"/>
    <w:rsid w:val="002003F2"/>
    <w:rsid w:val="0021239F"/>
    <w:rsid w:val="00220A76"/>
    <w:rsid w:val="00220EFE"/>
    <w:rsid w:val="00221879"/>
    <w:rsid w:val="00226C16"/>
    <w:rsid w:val="002273D5"/>
    <w:rsid w:val="00227E52"/>
    <w:rsid w:val="00232702"/>
    <w:rsid w:val="00236809"/>
    <w:rsid w:val="00253ADF"/>
    <w:rsid w:val="002542B6"/>
    <w:rsid w:val="002603E5"/>
    <w:rsid w:val="002676B8"/>
    <w:rsid w:val="002679DA"/>
    <w:rsid w:val="00271644"/>
    <w:rsid w:val="00271E3D"/>
    <w:rsid w:val="002727BB"/>
    <w:rsid w:val="00273388"/>
    <w:rsid w:val="00275D51"/>
    <w:rsid w:val="00280128"/>
    <w:rsid w:val="00280442"/>
    <w:rsid w:val="00281482"/>
    <w:rsid w:val="002825D1"/>
    <w:rsid w:val="00283915"/>
    <w:rsid w:val="00290BEF"/>
    <w:rsid w:val="002A3D1F"/>
    <w:rsid w:val="002A541A"/>
    <w:rsid w:val="002A6888"/>
    <w:rsid w:val="002A7C12"/>
    <w:rsid w:val="002B4237"/>
    <w:rsid w:val="002C4FDE"/>
    <w:rsid w:val="002C6401"/>
    <w:rsid w:val="002D42AD"/>
    <w:rsid w:val="002E0F91"/>
    <w:rsid w:val="002E1221"/>
    <w:rsid w:val="002E29F7"/>
    <w:rsid w:val="002E3693"/>
    <w:rsid w:val="002F3B3E"/>
    <w:rsid w:val="002F3B79"/>
    <w:rsid w:val="002F4011"/>
    <w:rsid w:val="002F6EA7"/>
    <w:rsid w:val="00303C30"/>
    <w:rsid w:val="0030422E"/>
    <w:rsid w:val="00305EAD"/>
    <w:rsid w:val="00306F20"/>
    <w:rsid w:val="00317F4A"/>
    <w:rsid w:val="0032054E"/>
    <w:rsid w:val="00331000"/>
    <w:rsid w:val="00334AD3"/>
    <w:rsid w:val="00334C26"/>
    <w:rsid w:val="003372DA"/>
    <w:rsid w:val="00342A1B"/>
    <w:rsid w:val="00343444"/>
    <w:rsid w:val="0034617A"/>
    <w:rsid w:val="0035017B"/>
    <w:rsid w:val="00352119"/>
    <w:rsid w:val="003526F0"/>
    <w:rsid w:val="003560A4"/>
    <w:rsid w:val="00366BF3"/>
    <w:rsid w:val="00371C5F"/>
    <w:rsid w:val="00375996"/>
    <w:rsid w:val="00376E93"/>
    <w:rsid w:val="00382C6F"/>
    <w:rsid w:val="00394CF7"/>
    <w:rsid w:val="003A6E17"/>
    <w:rsid w:val="003A6F68"/>
    <w:rsid w:val="003B029B"/>
    <w:rsid w:val="003B10F6"/>
    <w:rsid w:val="003B50E6"/>
    <w:rsid w:val="003B556A"/>
    <w:rsid w:val="003B6A49"/>
    <w:rsid w:val="003C1B57"/>
    <w:rsid w:val="003C2FB5"/>
    <w:rsid w:val="003C54B3"/>
    <w:rsid w:val="003C61B3"/>
    <w:rsid w:val="003C7DBC"/>
    <w:rsid w:val="003D0C86"/>
    <w:rsid w:val="003D32C3"/>
    <w:rsid w:val="003D7962"/>
    <w:rsid w:val="003E166F"/>
    <w:rsid w:val="003E2136"/>
    <w:rsid w:val="003E5FE9"/>
    <w:rsid w:val="003E6B35"/>
    <w:rsid w:val="003E7F76"/>
    <w:rsid w:val="003F291C"/>
    <w:rsid w:val="00400822"/>
    <w:rsid w:val="004023BC"/>
    <w:rsid w:val="004140F2"/>
    <w:rsid w:val="00422EF5"/>
    <w:rsid w:val="00423759"/>
    <w:rsid w:val="00423B07"/>
    <w:rsid w:val="00427617"/>
    <w:rsid w:val="00427F05"/>
    <w:rsid w:val="004351A5"/>
    <w:rsid w:val="00440E0C"/>
    <w:rsid w:val="00442773"/>
    <w:rsid w:val="00444257"/>
    <w:rsid w:val="00444DB6"/>
    <w:rsid w:val="004534EB"/>
    <w:rsid w:val="00454CC3"/>
    <w:rsid w:val="004645C8"/>
    <w:rsid w:val="004727CF"/>
    <w:rsid w:val="00475390"/>
    <w:rsid w:val="00486648"/>
    <w:rsid w:val="00486A69"/>
    <w:rsid w:val="0048754A"/>
    <w:rsid w:val="004905B7"/>
    <w:rsid w:val="00490CDC"/>
    <w:rsid w:val="00490DF8"/>
    <w:rsid w:val="00493E08"/>
    <w:rsid w:val="004A0CEE"/>
    <w:rsid w:val="004A0F49"/>
    <w:rsid w:val="004A20C4"/>
    <w:rsid w:val="004A6B3D"/>
    <w:rsid w:val="004A7FD2"/>
    <w:rsid w:val="004B3A20"/>
    <w:rsid w:val="004C010D"/>
    <w:rsid w:val="004C423F"/>
    <w:rsid w:val="004C6478"/>
    <w:rsid w:val="004D4FB8"/>
    <w:rsid w:val="004E04E1"/>
    <w:rsid w:val="004E07C2"/>
    <w:rsid w:val="004E368B"/>
    <w:rsid w:val="004E42C9"/>
    <w:rsid w:val="004E67F5"/>
    <w:rsid w:val="004F3092"/>
    <w:rsid w:val="004F4706"/>
    <w:rsid w:val="004F512A"/>
    <w:rsid w:val="005021F5"/>
    <w:rsid w:val="00506BDC"/>
    <w:rsid w:val="00514FF6"/>
    <w:rsid w:val="005223A1"/>
    <w:rsid w:val="00522A65"/>
    <w:rsid w:val="0052358E"/>
    <w:rsid w:val="00524682"/>
    <w:rsid w:val="00530A00"/>
    <w:rsid w:val="00542B39"/>
    <w:rsid w:val="00547360"/>
    <w:rsid w:val="00550149"/>
    <w:rsid w:val="005501AB"/>
    <w:rsid w:val="005501CB"/>
    <w:rsid w:val="005565FF"/>
    <w:rsid w:val="00562ECF"/>
    <w:rsid w:val="00564325"/>
    <w:rsid w:val="00574344"/>
    <w:rsid w:val="00580F71"/>
    <w:rsid w:val="00581141"/>
    <w:rsid w:val="00581DC7"/>
    <w:rsid w:val="005828AE"/>
    <w:rsid w:val="005836DA"/>
    <w:rsid w:val="00592FE4"/>
    <w:rsid w:val="005949E4"/>
    <w:rsid w:val="00595434"/>
    <w:rsid w:val="00595B5B"/>
    <w:rsid w:val="00596E09"/>
    <w:rsid w:val="005A7BBD"/>
    <w:rsid w:val="005B4B86"/>
    <w:rsid w:val="005B693E"/>
    <w:rsid w:val="005C28ED"/>
    <w:rsid w:val="005C61A4"/>
    <w:rsid w:val="005D0245"/>
    <w:rsid w:val="005D2251"/>
    <w:rsid w:val="005D5378"/>
    <w:rsid w:val="005D6912"/>
    <w:rsid w:val="005E02CC"/>
    <w:rsid w:val="005E07BC"/>
    <w:rsid w:val="005E1118"/>
    <w:rsid w:val="005E2B8D"/>
    <w:rsid w:val="005F227A"/>
    <w:rsid w:val="005F2E37"/>
    <w:rsid w:val="005F7930"/>
    <w:rsid w:val="006036EA"/>
    <w:rsid w:val="00613A03"/>
    <w:rsid w:val="00614531"/>
    <w:rsid w:val="0061521D"/>
    <w:rsid w:val="00620483"/>
    <w:rsid w:val="00621CBE"/>
    <w:rsid w:val="00622197"/>
    <w:rsid w:val="00623B15"/>
    <w:rsid w:val="00631F56"/>
    <w:rsid w:val="006320DD"/>
    <w:rsid w:val="00641111"/>
    <w:rsid w:val="00651925"/>
    <w:rsid w:val="00654CC7"/>
    <w:rsid w:val="00661842"/>
    <w:rsid w:val="00667C2A"/>
    <w:rsid w:val="0067232F"/>
    <w:rsid w:val="00672791"/>
    <w:rsid w:val="00682618"/>
    <w:rsid w:val="00693129"/>
    <w:rsid w:val="00697105"/>
    <w:rsid w:val="006A0F09"/>
    <w:rsid w:val="006A141A"/>
    <w:rsid w:val="006B2C3E"/>
    <w:rsid w:val="006B48C8"/>
    <w:rsid w:val="006B5BB7"/>
    <w:rsid w:val="006B6C46"/>
    <w:rsid w:val="006B730F"/>
    <w:rsid w:val="006C192C"/>
    <w:rsid w:val="006C5BA7"/>
    <w:rsid w:val="006D0802"/>
    <w:rsid w:val="006D1058"/>
    <w:rsid w:val="006D2E46"/>
    <w:rsid w:val="006E1548"/>
    <w:rsid w:val="006F2057"/>
    <w:rsid w:val="006F3351"/>
    <w:rsid w:val="006F70E0"/>
    <w:rsid w:val="0070310B"/>
    <w:rsid w:val="00706129"/>
    <w:rsid w:val="007067F8"/>
    <w:rsid w:val="00711D2E"/>
    <w:rsid w:val="00713F45"/>
    <w:rsid w:val="007144B9"/>
    <w:rsid w:val="00714C73"/>
    <w:rsid w:val="00720596"/>
    <w:rsid w:val="0072144B"/>
    <w:rsid w:val="007271FF"/>
    <w:rsid w:val="00744D5F"/>
    <w:rsid w:val="00750EAC"/>
    <w:rsid w:val="007510D8"/>
    <w:rsid w:val="00751CCC"/>
    <w:rsid w:val="00756308"/>
    <w:rsid w:val="0076154F"/>
    <w:rsid w:val="0076605D"/>
    <w:rsid w:val="007705DE"/>
    <w:rsid w:val="00774595"/>
    <w:rsid w:val="007748A4"/>
    <w:rsid w:val="00776FFC"/>
    <w:rsid w:val="00784278"/>
    <w:rsid w:val="00786F07"/>
    <w:rsid w:val="00786F4A"/>
    <w:rsid w:val="0078786E"/>
    <w:rsid w:val="00796D8D"/>
    <w:rsid w:val="007A55B1"/>
    <w:rsid w:val="007B4390"/>
    <w:rsid w:val="007B6958"/>
    <w:rsid w:val="007C0147"/>
    <w:rsid w:val="007C361B"/>
    <w:rsid w:val="007D1FA9"/>
    <w:rsid w:val="007D75A5"/>
    <w:rsid w:val="007E1D5A"/>
    <w:rsid w:val="007E3EE7"/>
    <w:rsid w:val="007E6304"/>
    <w:rsid w:val="007E6F4E"/>
    <w:rsid w:val="007F3490"/>
    <w:rsid w:val="007F37E5"/>
    <w:rsid w:val="00822484"/>
    <w:rsid w:val="00822F1E"/>
    <w:rsid w:val="00823881"/>
    <w:rsid w:val="0082635A"/>
    <w:rsid w:val="008302EF"/>
    <w:rsid w:val="00830D83"/>
    <w:rsid w:val="00832907"/>
    <w:rsid w:val="00833D17"/>
    <w:rsid w:val="00842091"/>
    <w:rsid w:val="0084233A"/>
    <w:rsid w:val="0084376D"/>
    <w:rsid w:val="0084582B"/>
    <w:rsid w:val="00847C8D"/>
    <w:rsid w:val="008521EB"/>
    <w:rsid w:val="00852F15"/>
    <w:rsid w:val="00857519"/>
    <w:rsid w:val="00861465"/>
    <w:rsid w:val="00862195"/>
    <w:rsid w:val="008625F4"/>
    <w:rsid w:val="00864F60"/>
    <w:rsid w:val="0086685A"/>
    <w:rsid w:val="00870E55"/>
    <w:rsid w:val="00872CE1"/>
    <w:rsid w:val="00881831"/>
    <w:rsid w:val="00885892"/>
    <w:rsid w:val="008858C3"/>
    <w:rsid w:val="00896565"/>
    <w:rsid w:val="00896DB6"/>
    <w:rsid w:val="008A2F25"/>
    <w:rsid w:val="008A31BC"/>
    <w:rsid w:val="008A34EE"/>
    <w:rsid w:val="008A3DDA"/>
    <w:rsid w:val="008B12B5"/>
    <w:rsid w:val="008B1F81"/>
    <w:rsid w:val="008B4763"/>
    <w:rsid w:val="008D438C"/>
    <w:rsid w:val="008E0CA9"/>
    <w:rsid w:val="00901F6F"/>
    <w:rsid w:val="00902CD2"/>
    <w:rsid w:val="00906ABB"/>
    <w:rsid w:val="0091586D"/>
    <w:rsid w:val="00916B8A"/>
    <w:rsid w:val="00927D1E"/>
    <w:rsid w:val="00933D15"/>
    <w:rsid w:val="00947B21"/>
    <w:rsid w:val="009559B7"/>
    <w:rsid w:val="00956D9C"/>
    <w:rsid w:val="00957A7C"/>
    <w:rsid w:val="00960E67"/>
    <w:rsid w:val="00961646"/>
    <w:rsid w:val="00981C67"/>
    <w:rsid w:val="00981EDD"/>
    <w:rsid w:val="00991B7C"/>
    <w:rsid w:val="00995CD2"/>
    <w:rsid w:val="009A1523"/>
    <w:rsid w:val="009A230C"/>
    <w:rsid w:val="009A748A"/>
    <w:rsid w:val="009B0016"/>
    <w:rsid w:val="009B1F61"/>
    <w:rsid w:val="009B341B"/>
    <w:rsid w:val="009B7858"/>
    <w:rsid w:val="009C2069"/>
    <w:rsid w:val="009C329A"/>
    <w:rsid w:val="009C5BCA"/>
    <w:rsid w:val="009C5CFA"/>
    <w:rsid w:val="009C69D9"/>
    <w:rsid w:val="009C725E"/>
    <w:rsid w:val="009D44F2"/>
    <w:rsid w:val="009F14B9"/>
    <w:rsid w:val="009F520E"/>
    <w:rsid w:val="00A0262F"/>
    <w:rsid w:val="00A04AF4"/>
    <w:rsid w:val="00A0516F"/>
    <w:rsid w:val="00A106B6"/>
    <w:rsid w:val="00A13179"/>
    <w:rsid w:val="00A20E48"/>
    <w:rsid w:val="00A332EB"/>
    <w:rsid w:val="00A34DEE"/>
    <w:rsid w:val="00A3744A"/>
    <w:rsid w:val="00A42064"/>
    <w:rsid w:val="00A422D2"/>
    <w:rsid w:val="00A42CFF"/>
    <w:rsid w:val="00A43270"/>
    <w:rsid w:val="00A471E8"/>
    <w:rsid w:val="00A5273B"/>
    <w:rsid w:val="00A770AE"/>
    <w:rsid w:val="00A8267B"/>
    <w:rsid w:val="00A85F0B"/>
    <w:rsid w:val="00A874D8"/>
    <w:rsid w:val="00A96EF1"/>
    <w:rsid w:val="00AA3C35"/>
    <w:rsid w:val="00AB0E9D"/>
    <w:rsid w:val="00AC16C4"/>
    <w:rsid w:val="00AC72BB"/>
    <w:rsid w:val="00AC7A89"/>
    <w:rsid w:val="00AD06A1"/>
    <w:rsid w:val="00AD18E2"/>
    <w:rsid w:val="00AE1A37"/>
    <w:rsid w:val="00AF0B8E"/>
    <w:rsid w:val="00AF1249"/>
    <w:rsid w:val="00AF5116"/>
    <w:rsid w:val="00B00FEC"/>
    <w:rsid w:val="00B02294"/>
    <w:rsid w:val="00B04109"/>
    <w:rsid w:val="00B06237"/>
    <w:rsid w:val="00B12697"/>
    <w:rsid w:val="00B14126"/>
    <w:rsid w:val="00B168D0"/>
    <w:rsid w:val="00B27229"/>
    <w:rsid w:val="00B307BE"/>
    <w:rsid w:val="00B3095F"/>
    <w:rsid w:val="00B31BA0"/>
    <w:rsid w:val="00B32052"/>
    <w:rsid w:val="00B4168A"/>
    <w:rsid w:val="00B453E4"/>
    <w:rsid w:val="00B47978"/>
    <w:rsid w:val="00B5104A"/>
    <w:rsid w:val="00B52BCB"/>
    <w:rsid w:val="00B61BAE"/>
    <w:rsid w:val="00B62AF4"/>
    <w:rsid w:val="00B65F1A"/>
    <w:rsid w:val="00B72F2F"/>
    <w:rsid w:val="00B751A5"/>
    <w:rsid w:val="00B75D66"/>
    <w:rsid w:val="00B773E5"/>
    <w:rsid w:val="00B922BF"/>
    <w:rsid w:val="00B941BB"/>
    <w:rsid w:val="00B94A57"/>
    <w:rsid w:val="00B9624F"/>
    <w:rsid w:val="00BA2CFE"/>
    <w:rsid w:val="00BB1D4D"/>
    <w:rsid w:val="00BC3D74"/>
    <w:rsid w:val="00BD57F8"/>
    <w:rsid w:val="00BE084E"/>
    <w:rsid w:val="00BE1970"/>
    <w:rsid w:val="00BF1FD3"/>
    <w:rsid w:val="00BF2760"/>
    <w:rsid w:val="00BF2D36"/>
    <w:rsid w:val="00BF2F6B"/>
    <w:rsid w:val="00BF6573"/>
    <w:rsid w:val="00BF6ECB"/>
    <w:rsid w:val="00C067D8"/>
    <w:rsid w:val="00C10A8F"/>
    <w:rsid w:val="00C219B1"/>
    <w:rsid w:val="00C266D6"/>
    <w:rsid w:val="00C31D52"/>
    <w:rsid w:val="00C411E0"/>
    <w:rsid w:val="00C42AD9"/>
    <w:rsid w:val="00C43F69"/>
    <w:rsid w:val="00C4557D"/>
    <w:rsid w:val="00C47F7B"/>
    <w:rsid w:val="00C5062E"/>
    <w:rsid w:val="00C538B1"/>
    <w:rsid w:val="00C5475A"/>
    <w:rsid w:val="00C5503A"/>
    <w:rsid w:val="00C56F50"/>
    <w:rsid w:val="00C66F42"/>
    <w:rsid w:val="00C67AAA"/>
    <w:rsid w:val="00C72000"/>
    <w:rsid w:val="00C723CE"/>
    <w:rsid w:val="00C749F4"/>
    <w:rsid w:val="00C74A2A"/>
    <w:rsid w:val="00C76CBB"/>
    <w:rsid w:val="00C82D17"/>
    <w:rsid w:val="00C84C33"/>
    <w:rsid w:val="00C8626F"/>
    <w:rsid w:val="00C90B61"/>
    <w:rsid w:val="00C92F09"/>
    <w:rsid w:val="00C93A0B"/>
    <w:rsid w:val="00CA507B"/>
    <w:rsid w:val="00CA71EB"/>
    <w:rsid w:val="00CA79DD"/>
    <w:rsid w:val="00CB13C3"/>
    <w:rsid w:val="00CB200F"/>
    <w:rsid w:val="00CB5F35"/>
    <w:rsid w:val="00CB65BD"/>
    <w:rsid w:val="00CB7C93"/>
    <w:rsid w:val="00CC4170"/>
    <w:rsid w:val="00CC4A9F"/>
    <w:rsid w:val="00CC61FC"/>
    <w:rsid w:val="00CC7CD3"/>
    <w:rsid w:val="00CD0D9B"/>
    <w:rsid w:val="00CD2CC2"/>
    <w:rsid w:val="00CE1F1F"/>
    <w:rsid w:val="00CE300D"/>
    <w:rsid w:val="00CF12A4"/>
    <w:rsid w:val="00CF511B"/>
    <w:rsid w:val="00D02116"/>
    <w:rsid w:val="00D05C64"/>
    <w:rsid w:val="00D06942"/>
    <w:rsid w:val="00D160A0"/>
    <w:rsid w:val="00D167E0"/>
    <w:rsid w:val="00D20D45"/>
    <w:rsid w:val="00D21D71"/>
    <w:rsid w:val="00D240AD"/>
    <w:rsid w:val="00D24FBE"/>
    <w:rsid w:val="00D26039"/>
    <w:rsid w:val="00D31EA5"/>
    <w:rsid w:val="00D36571"/>
    <w:rsid w:val="00D40696"/>
    <w:rsid w:val="00D40FD8"/>
    <w:rsid w:val="00D54812"/>
    <w:rsid w:val="00D54E7B"/>
    <w:rsid w:val="00D55B27"/>
    <w:rsid w:val="00D57BB2"/>
    <w:rsid w:val="00D624D3"/>
    <w:rsid w:val="00D7637E"/>
    <w:rsid w:val="00D819A6"/>
    <w:rsid w:val="00D8397F"/>
    <w:rsid w:val="00D85616"/>
    <w:rsid w:val="00D95D31"/>
    <w:rsid w:val="00DB27E8"/>
    <w:rsid w:val="00DB3353"/>
    <w:rsid w:val="00DB3688"/>
    <w:rsid w:val="00DB7A20"/>
    <w:rsid w:val="00DB7C12"/>
    <w:rsid w:val="00DC52FF"/>
    <w:rsid w:val="00DC56F5"/>
    <w:rsid w:val="00DC60F5"/>
    <w:rsid w:val="00DC67A9"/>
    <w:rsid w:val="00DC6F25"/>
    <w:rsid w:val="00DD5FF0"/>
    <w:rsid w:val="00DD7A63"/>
    <w:rsid w:val="00DE2D75"/>
    <w:rsid w:val="00DE6376"/>
    <w:rsid w:val="00DF315B"/>
    <w:rsid w:val="00DF7941"/>
    <w:rsid w:val="00E001FD"/>
    <w:rsid w:val="00E019D5"/>
    <w:rsid w:val="00E11475"/>
    <w:rsid w:val="00E152D6"/>
    <w:rsid w:val="00E156F5"/>
    <w:rsid w:val="00E167DC"/>
    <w:rsid w:val="00E17F37"/>
    <w:rsid w:val="00E222F6"/>
    <w:rsid w:val="00E35FB0"/>
    <w:rsid w:val="00E40798"/>
    <w:rsid w:val="00E428EA"/>
    <w:rsid w:val="00E46ACC"/>
    <w:rsid w:val="00E503E9"/>
    <w:rsid w:val="00E5658A"/>
    <w:rsid w:val="00E65364"/>
    <w:rsid w:val="00E65738"/>
    <w:rsid w:val="00E65A3B"/>
    <w:rsid w:val="00E70B81"/>
    <w:rsid w:val="00E75F5A"/>
    <w:rsid w:val="00E770CD"/>
    <w:rsid w:val="00E81076"/>
    <w:rsid w:val="00E853D0"/>
    <w:rsid w:val="00E85B68"/>
    <w:rsid w:val="00E86600"/>
    <w:rsid w:val="00E93A60"/>
    <w:rsid w:val="00E97C08"/>
    <w:rsid w:val="00EA1CDE"/>
    <w:rsid w:val="00EA4FE8"/>
    <w:rsid w:val="00EB189D"/>
    <w:rsid w:val="00EB4512"/>
    <w:rsid w:val="00EC0C20"/>
    <w:rsid w:val="00EC3EBD"/>
    <w:rsid w:val="00EC448D"/>
    <w:rsid w:val="00EC7CA6"/>
    <w:rsid w:val="00ED3301"/>
    <w:rsid w:val="00ED469F"/>
    <w:rsid w:val="00ED739A"/>
    <w:rsid w:val="00EE1513"/>
    <w:rsid w:val="00EE2A42"/>
    <w:rsid w:val="00EE2BA4"/>
    <w:rsid w:val="00EE7B7B"/>
    <w:rsid w:val="00EE7CE6"/>
    <w:rsid w:val="00EF6D89"/>
    <w:rsid w:val="00EF6EDB"/>
    <w:rsid w:val="00F02378"/>
    <w:rsid w:val="00F0336E"/>
    <w:rsid w:val="00F13BD3"/>
    <w:rsid w:val="00F16C01"/>
    <w:rsid w:val="00F178BB"/>
    <w:rsid w:val="00F17E87"/>
    <w:rsid w:val="00F23334"/>
    <w:rsid w:val="00F30884"/>
    <w:rsid w:val="00F33E9D"/>
    <w:rsid w:val="00F352C6"/>
    <w:rsid w:val="00F40158"/>
    <w:rsid w:val="00F42321"/>
    <w:rsid w:val="00F4279F"/>
    <w:rsid w:val="00F44E90"/>
    <w:rsid w:val="00F5571B"/>
    <w:rsid w:val="00F55AD8"/>
    <w:rsid w:val="00F6115A"/>
    <w:rsid w:val="00F61781"/>
    <w:rsid w:val="00F66F29"/>
    <w:rsid w:val="00F73C60"/>
    <w:rsid w:val="00F830A5"/>
    <w:rsid w:val="00F9069A"/>
    <w:rsid w:val="00F926E1"/>
    <w:rsid w:val="00F96B17"/>
    <w:rsid w:val="00F97500"/>
    <w:rsid w:val="00FA332E"/>
    <w:rsid w:val="00FA588D"/>
    <w:rsid w:val="00FB4393"/>
    <w:rsid w:val="00FB5081"/>
    <w:rsid w:val="00FB5E59"/>
    <w:rsid w:val="00FB6A23"/>
    <w:rsid w:val="00FC4440"/>
    <w:rsid w:val="00FC6B34"/>
    <w:rsid w:val="00FD1E5C"/>
    <w:rsid w:val="00FE3845"/>
    <w:rsid w:val="00FE5638"/>
    <w:rsid w:val="00FF19D7"/>
    <w:rsid w:val="00FF1D5D"/>
    <w:rsid w:val="00FF66E3"/>
    <w:rsid w:val="00FF6DB5"/>
    <w:rsid w:val="00FF7A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49085-2D9E-479C-AFD5-842815CE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A2A"/>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C74A2A"/>
    <w:rPr>
      <w:color w:val="0000FF"/>
      <w:u w:val="single"/>
    </w:rPr>
  </w:style>
  <w:style w:type="paragraph" w:styleId="Paragraphedeliste">
    <w:name w:val="List Paragraph"/>
    <w:basedOn w:val="Normal"/>
    <w:uiPriority w:val="34"/>
    <w:qFormat/>
    <w:rsid w:val="00C74A2A"/>
    <w:pPr>
      <w:ind w:left="720"/>
      <w:contextualSpacing/>
    </w:pPr>
  </w:style>
  <w:style w:type="paragraph" w:styleId="Notedebasdepage">
    <w:name w:val="footnote text"/>
    <w:basedOn w:val="Normal"/>
    <w:link w:val="NotedebasdepageCar"/>
    <w:uiPriority w:val="99"/>
    <w:unhideWhenUsed/>
    <w:rsid w:val="0076605D"/>
    <w:rPr>
      <w:sz w:val="20"/>
    </w:rPr>
  </w:style>
  <w:style w:type="character" w:customStyle="1" w:styleId="NotedebasdepageCar">
    <w:name w:val="Note de bas de page Car"/>
    <w:basedOn w:val="Policepardfaut"/>
    <w:link w:val="Notedebasdepage"/>
    <w:uiPriority w:val="99"/>
    <w:rsid w:val="0076605D"/>
    <w:rPr>
      <w:rFonts w:ascii="Times New Roman" w:eastAsia="Times New Roman" w:hAnsi="Times New Roman" w:cs="Times New Roman"/>
      <w:sz w:val="20"/>
      <w:szCs w:val="20"/>
      <w:lang w:eastAsia="fr-FR"/>
    </w:rPr>
  </w:style>
  <w:style w:type="character" w:styleId="Appelnotedebasdep">
    <w:name w:val="footnote reference"/>
    <w:unhideWhenUsed/>
    <w:rsid w:val="0076605D"/>
    <w:rPr>
      <w:vertAlign w:val="superscript"/>
    </w:rPr>
  </w:style>
  <w:style w:type="paragraph" w:styleId="En-tte">
    <w:name w:val="header"/>
    <w:basedOn w:val="Normal"/>
    <w:link w:val="En-tteCar"/>
    <w:uiPriority w:val="99"/>
    <w:unhideWhenUsed/>
    <w:rsid w:val="00B27229"/>
    <w:pPr>
      <w:tabs>
        <w:tab w:val="center" w:pos="4536"/>
        <w:tab w:val="right" w:pos="9072"/>
      </w:tabs>
    </w:pPr>
  </w:style>
  <w:style w:type="character" w:customStyle="1" w:styleId="En-tteCar">
    <w:name w:val="En-tête Car"/>
    <w:basedOn w:val="Policepardfaut"/>
    <w:link w:val="En-tte"/>
    <w:uiPriority w:val="99"/>
    <w:rsid w:val="00B27229"/>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unhideWhenUsed/>
    <w:rsid w:val="00B27229"/>
    <w:pPr>
      <w:tabs>
        <w:tab w:val="center" w:pos="4536"/>
        <w:tab w:val="right" w:pos="9072"/>
      </w:tabs>
    </w:pPr>
  </w:style>
  <w:style w:type="character" w:customStyle="1" w:styleId="PieddepageCar">
    <w:name w:val="Pied de page Car"/>
    <w:basedOn w:val="Policepardfaut"/>
    <w:link w:val="Pieddepage"/>
    <w:uiPriority w:val="99"/>
    <w:rsid w:val="00B27229"/>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B2722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7229"/>
    <w:rPr>
      <w:rFonts w:ascii="Segoe UI" w:eastAsia="Times New Roman" w:hAnsi="Segoe UI" w:cs="Segoe UI"/>
      <w:sz w:val="18"/>
      <w:szCs w:val="18"/>
      <w:lang w:eastAsia="fr-FR"/>
    </w:rPr>
  </w:style>
  <w:style w:type="table" w:styleId="Grilledutableau">
    <w:name w:val="Table Grid"/>
    <w:basedOn w:val="TableauNormal"/>
    <w:uiPriority w:val="39"/>
    <w:rsid w:val="00E77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tionHTML">
    <w:name w:val="HTML Cite"/>
    <w:uiPriority w:val="99"/>
    <w:semiHidden/>
    <w:unhideWhenUsed/>
    <w:rsid w:val="003B10F6"/>
    <w:rPr>
      <w:i/>
      <w:iCs/>
    </w:rPr>
  </w:style>
  <w:style w:type="character" w:styleId="lev">
    <w:name w:val="Strong"/>
    <w:uiPriority w:val="22"/>
    <w:qFormat/>
    <w:rsid w:val="003B10F6"/>
    <w:rPr>
      <w:b/>
      <w:bCs/>
    </w:rPr>
  </w:style>
  <w:style w:type="character" w:customStyle="1" w:styleId="st">
    <w:name w:val="st"/>
    <w:rsid w:val="003D7962"/>
  </w:style>
  <w:style w:type="character" w:customStyle="1" w:styleId="Mentionnonrsolue1">
    <w:name w:val="Mention non résolue1"/>
    <w:basedOn w:val="Policepardfaut"/>
    <w:uiPriority w:val="99"/>
    <w:semiHidden/>
    <w:unhideWhenUsed/>
    <w:rsid w:val="001409C4"/>
    <w:rPr>
      <w:color w:val="808080"/>
      <w:shd w:val="clear" w:color="auto" w:fill="E6E6E6"/>
    </w:rPr>
  </w:style>
  <w:style w:type="paragraph" w:styleId="Sous-titre">
    <w:name w:val="Subtitle"/>
    <w:basedOn w:val="Normal"/>
    <w:link w:val="Sous-titreCar"/>
    <w:qFormat/>
    <w:rsid w:val="00D31EA5"/>
    <w:rPr>
      <w:rFonts w:ascii="Arial" w:hAnsi="Arial" w:cs="Arial"/>
      <w:b/>
      <w:bCs/>
      <w:szCs w:val="24"/>
    </w:rPr>
  </w:style>
  <w:style w:type="character" w:customStyle="1" w:styleId="Sous-titreCar">
    <w:name w:val="Sous-titre Car"/>
    <w:basedOn w:val="Policepardfaut"/>
    <w:link w:val="Sous-titre"/>
    <w:rsid w:val="00D31EA5"/>
    <w:rPr>
      <w:rFonts w:ascii="Arial" w:eastAsia="Times New Roman" w:hAnsi="Arial" w:cs="Arial"/>
      <w:b/>
      <w:bCs/>
      <w:sz w:val="24"/>
      <w:szCs w:val="24"/>
      <w:lang w:eastAsia="fr-FR"/>
    </w:rPr>
  </w:style>
  <w:style w:type="paragraph" w:styleId="Listepuces2">
    <w:name w:val="List Bullet 2"/>
    <w:basedOn w:val="Normal"/>
    <w:autoRedefine/>
    <w:semiHidden/>
    <w:rsid w:val="00D31EA5"/>
    <w:pPr>
      <w:numPr>
        <w:numId w:val="7"/>
      </w:numPr>
      <w:spacing w:before="120"/>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670868">
      <w:bodyDiv w:val="1"/>
      <w:marLeft w:val="0"/>
      <w:marRight w:val="0"/>
      <w:marTop w:val="0"/>
      <w:marBottom w:val="0"/>
      <w:divBdr>
        <w:top w:val="none" w:sz="0" w:space="0" w:color="auto"/>
        <w:left w:val="none" w:sz="0" w:space="0" w:color="auto"/>
        <w:bottom w:val="none" w:sz="0" w:space="0" w:color="auto"/>
        <w:right w:val="none" w:sz="0" w:space="0" w:color="auto"/>
      </w:divBdr>
      <w:divsChild>
        <w:div w:id="56519999">
          <w:marLeft w:val="446"/>
          <w:marRight w:val="0"/>
          <w:marTop w:val="0"/>
          <w:marBottom w:val="0"/>
          <w:divBdr>
            <w:top w:val="none" w:sz="0" w:space="0" w:color="auto"/>
            <w:left w:val="none" w:sz="0" w:space="0" w:color="auto"/>
            <w:bottom w:val="none" w:sz="0" w:space="0" w:color="auto"/>
            <w:right w:val="none" w:sz="0" w:space="0" w:color="auto"/>
          </w:divBdr>
        </w:div>
        <w:div w:id="1550723260">
          <w:marLeft w:val="446"/>
          <w:marRight w:val="0"/>
          <w:marTop w:val="0"/>
          <w:marBottom w:val="0"/>
          <w:divBdr>
            <w:top w:val="none" w:sz="0" w:space="0" w:color="auto"/>
            <w:left w:val="none" w:sz="0" w:space="0" w:color="auto"/>
            <w:bottom w:val="none" w:sz="0" w:space="0" w:color="auto"/>
            <w:right w:val="none" w:sz="0" w:space="0" w:color="auto"/>
          </w:divBdr>
        </w:div>
        <w:div w:id="529878257">
          <w:marLeft w:val="446"/>
          <w:marRight w:val="0"/>
          <w:marTop w:val="0"/>
          <w:marBottom w:val="0"/>
          <w:divBdr>
            <w:top w:val="none" w:sz="0" w:space="0" w:color="auto"/>
            <w:left w:val="none" w:sz="0" w:space="0" w:color="auto"/>
            <w:bottom w:val="none" w:sz="0" w:space="0" w:color="auto"/>
            <w:right w:val="none" w:sz="0" w:space="0" w:color="auto"/>
          </w:divBdr>
        </w:div>
        <w:div w:id="1385446802">
          <w:marLeft w:val="446"/>
          <w:marRight w:val="0"/>
          <w:marTop w:val="0"/>
          <w:marBottom w:val="0"/>
          <w:divBdr>
            <w:top w:val="none" w:sz="0" w:space="0" w:color="auto"/>
            <w:left w:val="none" w:sz="0" w:space="0" w:color="auto"/>
            <w:bottom w:val="none" w:sz="0" w:space="0" w:color="auto"/>
            <w:right w:val="none" w:sz="0" w:space="0" w:color="auto"/>
          </w:divBdr>
        </w:div>
      </w:divsChild>
    </w:div>
    <w:div w:id="1003047598">
      <w:bodyDiv w:val="1"/>
      <w:marLeft w:val="0"/>
      <w:marRight w:val="0"/>
      <w:marTop w:val="0"/>
      <w:marBottom w:val="0"/>
      <w:divBdr>
        <w:top w:val="none" w:sz="0" w:space="0" w:color="auto"/>
        <w:left w:val="none" w:sz="0" w:space="0" w:color="auto"/>
        <w:bottom w:val="none" w:sz="0" w:space="0" w:color="auto"/>
        <w:right w:val="none" w:sz="0" w:space="0" w:color="auto"/>
      </w:divBdr>
      <w:divsChild>
        <w:div w:id="872809162">
          <w:marLeft w:val="0"/>
          <w:marRight w:val="0"/>
          <w:marTop w:val="0"/>
          <w:marBottom w:val="0"/>
          <w:divBdr>
            <w:top w:val="none" w:sz="0" w:space="0" w:color="auto"/>
            <w:left w:val="none" w:sz="0" w:space="0" w:color="auto"/>
            <w:bottom w:val="none" w:sz="0" w:space="0" w:color="auto"/>
            <w:right w:val="none" w:sz="0" w:space="0" w:color="auto"/>
          </w:divBdr>
        </w:div>
        <w:div w:id="1978414142">
          <w:marLeft w:val="0"/>
          <w:marRight w:val="0"/>
          <w:marTop w:val="0"/>
          <w:marBottom w:val="0"/>
          <w:divBdr>
            <w:top w:val="none" w:sz="0" w:space="0" w:color="auto"/>
            <w:left w:val="none" w:sz="0" w:space="0" w:color="auto"/>
            <w:bottom w:val="none" w:sz="0" w:space="0" w:color="auto"/>
            <w:right w:val="none" w:sz="0" w:space="0" w:color="auto"/>
          </w:divBdr>
        </w:div>
        <w:div w:id="1144930758">
          <w:marLeft w:val="0"/>
          <w:marRight w:val="0"/>
          <w:marTop w:val="0"/>
          <w:marBottom w:val="0"/>
          <w:divBdr>
            <w:top w:val="none" w:sz="0" w:space="0" w:color="auto"/>
            <w:left w:val="none" w:sz="0" w:space="0" w:color="auto"/>
            <w:bottom w:val="none" w:sz="0" w:space="0" w:color="auto"/>
            <w:right w:val="none" w:sz="0" w:space="0" w:color="auto"/>
          </w:divBdr>
        </w:div>
        <w:div w:id="1701738042">
          <w:marLeft w:val="0"/>
          <w:marRight w:val="0"/>
          <w:marTop w:val="0"/>
          <w:marBottom w:val="0"/>
          <w:divBdr>
            <w:top w:val="none" w:sz="0" w:space="0" w:color="auto"/>
            <w:left w:val="none" w:sz="0" w:space="0" w:color="auto"/>
            <w:bottom w:val="none" w:sz="0" w:space="0" w:color="auto"/>
            <w:right w:val="none" w:sz="0" w:space="0" w:color="auto"/>
          </w:divBdr>
        </w:div>
        <w:div w:id="828518654">
          <w:marLeft w:val="0"/>
          <w:marRight w:val="0"/>
          <w:marTop w:val="0"/>
          <w:marBottom w:val="0"/>
          <w:divBdr>
            <w:top w:val="none" w:sz="0" w:space="0" w:color="auto"/>
            <w:left w:val="none" w:sz="0" w:space="0" w:color="auto"/>
            <w:bottom w:val="none" w:sz="0" w:space="0" w:color="auto"/>
            <w:right w:val="none" w:sz="0" w:space="0" w:color="auto"/>
          </w:divBdr>
        </w:div>
        <w:div w:id="199561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ier.mevel@univ-brest.fr" TargetMode="External"/><Relationship Id="rId13" Type="http://schemas.openxmlformats.org/officeDocument/2006/relationships/image" Target="media/image3.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mailto:nelida.morvan@univ-rennes1.fr"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mailto:thierry.morvan@univ-rennes1.fr"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2BE2E-14B6-4613-BD08-652DC12D4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10506</Words>
  <Characters>57783</Characters>
  <Application>Microsoft Office Word</Application>
  <DocSecurity>0</DocSecurity>
  <Lines>481</Lines>
  <Paragraphs>136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tmorvan</dc:creator>
  <cp:keywords/>
  <dc:description/>
  <cp:lastModifiedBy>IUT de Saint-Malo</cp:lastModifiedBy>
  <cp:revision>2</cp:revision>
  <cp:lastPrinted>2018-07-14T20:14:00Z</cp:lastPrinted>
  <dcterms:created xsi:type="dcterms:W3CDTF">2020-07-01T13:36:00Z</dcterms:created>
  <dcterms:modified xsi:type="dcterms:W3CDTF">2020-07-01T13:36:00Z</dcterms:modified>
</cp:coreProperties>
</file>